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2A" w:rsidRDefault="0028472A" w:rsidP="0028472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Parlament České republiky</w:t>
      </w:r>
    </w:p>
    <w:p w:rsidR="0028472A" w:rsidRDefault="0028472A" w:rsidP="0028472A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POSLANECKÁ SNĚMOVNA</w:t>
      </w:r>
    </w:p>
    <w:p w:rsidR="0028472A" w:rsidRDefault="0028472A" w:rsidP="0028472A">
      <w:pPr>
        <w:spacing w:after="0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2020</w:t>
      </w:r>
    </w:p>
    <w:p w:rsidR="0028472A" w:rsidRDefault="0028472A" w:rsidP="0028472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 volební období</w:t>
      </w:r>
    </w:p>
    <w:p w:rsidR="0028472A" w:rsidRDefault="0028472A" w:rsidP="0028472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472A" w:rsidRDefault="00CB4642" w:rsidP="0028472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271</w:t>
      </w:r>
    </w:p>
    <w:p w:rsidR="0028472A" w:rsidRDefault="0028472A" w:rsidP="0028472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472A" w:rsidRDefault="0028472A" w:rsidP="0028472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</w:rPr>
        <w:t>USNESENÍ</w:t>
      </w:r>
    </w:p>
    <w:p w:rsidR="0028472A" w:rsidRDefault="0028472A" w:rsidP="0028472A">
      <w:pPr>
        <w:spacing w:after="0"/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výboru pro vědu, vzdělání, kulturu, mládež a tělovýchovu</w:t>
      </w:r>
    </w:p>
    <w:p w:rsidR="0028472A" w:rsidRDefault="0028472A" w:rsidP="0028472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ze 4</w:t>
      </w:r>
      <w:r w:rsidR="00EE069D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. schůze ze dne </w:t>
      </w:r>
      <w:r w:rsidR="00EE069D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E069D">
        <w:rPr>
          <w:rFonts w:ascii="Times New Roman" w:hAnsi="Times New Roman"/>
          <w:b/>
          <w:i/>
          <w:sz w:val="24"/>
          <w:szCs w:val="24"/>
        </w:rPr>
        <w:t>prosince</w:t>
      </w:r>
      <w:r>
        <w:rPr>
          <w:rFonts w:ascii="Times New Roman" w:hAnsi="Times New Roman"/>
          <w:b/>
          <w:i/>
          <w:sz w:val="24"/>
          <w:szCs w:val="24"/>
        </w:rPr>
        <w:t xml:space="preserve"> 2020</w:t>
      </w:r>
    </w:p>
    <w:p w:rsidR="00385ED3" w:rsidRDefault="00385ED3" w:rsidP="00385ED3">
      <w:pPr>
        <w:spacing w:after="0" w:line="25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069D" w:rsidRDefault="00B20866" w:rsidP="00EE069D">
      <w:pPr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k </w:t>
      </w:r>
      <w:r w:rsidR="00EE069D">
        <w:rPr>
          <w:rFonts w:ascii="Times New Roman" w:eastAsia="Times New Roman" w:hAnsi="Times New Roman"/>
          <w:kern w:val="3"/>
          <w:sz w:val="24"/>
          <w:szCs w:val="24"/>
          <w:lang w:bidi="hi-IN"/>
        </w:rPr>
        <w:t>Evro</w:t>
      </w:r>
      <w:r w:rsidR="00EE069D" w:rsidRPr="00EE069D">
        <w:rPr>
          <w:rFonts w:ascii="Times New Roman" w:eastAsia="Times New Roman" w:hAnsi="Times New Roman"/>
          <w:kern w:val="3"/>
          <w:sz w:val="24"/>
          <w:szCs w:val="24"/>
          <w:lang w:bidi="hi-IN"/>
        </w:rPr>
        <w:t>psk</w:t>
      </w:r>
      <w:r w:rsidR="00EE069D">
        <w:rPr>
          <w:rFonts w:ascii="Times New Roman" w:eastAsia="Times New Roman" w:hAnsi="Times New Roman"/>
          <w:kern w:val="3"/>
          <w:sz w:val="24"/>
          <w:szCs w:val="24"/>
          <w:lang w:bidi="hi-IN"/>
        </w:rPr>
        <w:t>ému</w:t>
      </w:r>
      <w:r w:rsidR="00EE069D" w:rsidRPr="00EE069D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 dokument</w:t>
      </w:r>
      <w:r w:rsidR="00EE069D">
        <w:rPr>
          <w:rFonts w:ascii="Times New Roman" w:eastAsia="Times New Roman" w:hAnsi="Times New Roman"/>
          <w:kern w:val="3"/>
          <w:sz w:val="24"/>
          <w:szCs w:val="24"/>
          <w:lang w:bidi="hi-IN"/>
        </w:rPr>
        <w:t>u</w:t>
      </w:r>
      <w:r w:rsidR="00EE069D" w:rsidRPr="00EE069D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 11400/20, COM(2020) 628 final: </w:t>
      </w:r>
    </w:p>
    <w:p w:rsidR="00EE069D" w:rsidRDefault="00EE069D" w:rsidP="00EE069D">
      <w:pPr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 w:rsidRPr="00EE069D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Sdělení Komise Evropskému parlamentu, Radě, Evropskému hospodářskému a sociálnímu výboru a Výboru regionů - Nový EVP pro výzkum a inovace </w:t>
      </w:r>
    </w:p>
    <w:p w:rsidR="00B20866" w:rsidRDefault="00B20866" w:rsidP="00860B82">
      <w:pPr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</w:p>
    <w:p w:rsidR="00385ED3" w:rsidRDefault="00385ED3" w:rsidP="006963DE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C2A7B" w:rsidRDefault="002C2A7B" w:rsidP="002C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AAC" w:rsidRDefault="00674163" w:rsidP="002C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ED3">
        <w:rPr>
          <w:rFonts w:ascii="Times New Roman" w:hAnsi="Times New Roman"/>
          <w:sz w:val="24"/>
          <w:szCs w:val="24"/>
        </w:rPr>
        <w:t xml:space="preserve">Výbor pro vědu, vzdělání, kulturu, mládež a tělovýchovu </w:t>
      </w:r>
      <w:r w:rsidR="00B20866">
        <w:rPr>
          <w:rFonts w:ascii="Times New Roman" w:hAnsi="Times New Roman"/>
          <w:sz w:val="24"/>
          <w:szCs w:val="24"/>
        </w:rPr>
        <w:t xml:space="preserve">po </w:t>
      </w:r>
      <w:r w:rsidR="008F24FE">
        <w:rPr>
          <w:rFonts w:ascii="Times New Roman" w:hAnsi="Times New Roman"/>
          <w:sz w:val="24"/>
          <w:szCs w:val="24"/>
        </w:rPr>
        <w:t xml:space="preserve">zpravodajské zprávě posl. </w:t>
      </w:r>
      <w:r w:rsidR="00EE069D">
        <w:rPr>
          <w:rFonts w:ascii="Times New Roman" w:hAnsi="Times New Roman"/>
          <w:sz w:val="24"/>
          <w:szCs w:val="24"/>
        </w:rPr>
        <w:t>Lukáše Bartoně</w:t>
      </w:r>
      <w:r w:rsidR="00B20866">
        <w:rPr>
          <w:rFonts w:ascii="Times New Roman" w:hAnsi="Times New Roman"/>
          <w:sz w:val="24"/>
          <w:szCs w:val="24"/>
        </w:rPr>
        <w:t>, vyslechnutí informac</w:t>
      </w:r>
      <w:r w:rsidR="00EE069D">
        <w:rPr>
          <w:rFonts w:ascii="Times New Roman" w:hAnsi="Times New Roman"/>
          <w:sz w:val="24"/>
          <w:szCs w:val="24"/>
        </w:rPr>
        <w:t>e pana náměstka ministra školství Pavla Dolečka</w:t>
      </w:r>
      <w:r w:rsidR="00B20866">
        <w:rPr>
          <w:rFonts w:ascii="Times New Roman" w:hAnsi="Times New Roman"/>
          <w:sz w:val="24"/>
          <w:szCs w:val="24"/>
        </w:rPr>
        <w:t xml:space="preserve"> </w:t>
      </w:r>
      <w:r w:rsidR="006A7FFA">
        <w:rPr>
          <w:rFonts w:ascii="Times New Roman" w:hAnsi="Times New Roman"/>
          <w:sz w:val="24"/>
          <w:szCs w:val="24"/>
        </w:rPr>
        <w:t>a</w:t>
      </w:r>
      <w:r w:rsidR="00CB3056">
        <w:rPr>
          <w:rFonts w:ascii="Times New Roman" w:hAnsi="Times New Roman"/>
          <w:sz w:val="24"/>
          <w:szCs w:val="24"/>
        </w:rPr>
        <w:t> </w:t>
      </w:r>
      <w:r w:rsidR="006A7FFA">
        <w:rPr>
          <w:rFonts w:ascii="Times New Roman" w:hAnsi="Times New Roman"/>
          <w:sz w:val="24"/>
          <w:szCs w:val="24"/>
        </w:rPr>
        <w:t>po </w:t>
      </w:r>
      <w:r w:rsidR="008F24FE">
        <w:rPr>
          <w:rFonts w:ascii="Times New Roman" w:hAnsi="Times New Roman"/>
          <w:sz w:val="24"/>
          <w:szCs w:val="24"/>
        </w:rPr>
        <w:t>rozpravě</w:t>
      </w:r>
    </w:p>
    <w:p w:rsidR="00EE069D" w:rsidRDefault="00EE069D" w:rsidP="00EE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69D" w:rsidRPr="00EE069D" w:rsidRDefault="00EE069D" w:rsidP="00EE069D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 w:rsidRPr="00EE069D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> b</w:t>
      </w:r>
      <w:r w:rsidRPr="00EE069D">
        <w:rPr>
          <w:rFonts w:ascii="Times New Roman" w:hAnsi="Times New Roman"/>
          <w:sz w:val="24"/>
          <w:szCs w:val="24"/>
        </w:rPr>
        <w:t xml:space="preserve">ere na vědomí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bidi="hi-IN"/>
        </w:rPr>
        <w:t>Evro</w:t>
      </w:r>
      <w:r w:rsidRPr="00EE069D">
        <w:rPr>
          <w:rFonts w:ascii="Times New Roman" w:eastAsia="Times New Roman" w:hAnsi="Times New Roman"/>
          <w:kern w:val="3"/>
          <w:sz w:val="24"/>
          <w:szCs w:val="24"/>
          <w:lang w:bidi="hi-IN"/>
        </w:rPr>
        <w:t>psk</w:t>
      </w:r>
      <w:r>
        <w:rPr>
          <w:rFonts w:ascii="Times New Roman" w:eastAsia="Times New Roman" w:hAnsi="Times New Roman"/>
          <w:kern w:val="3"/>
          <w:sz w:val="24"/>
          <w:szCs w:val="24"/>
          <w:lang w:bidi="hi-IN"/>
        </w:rPr>
        <w:t>ý</w:t>
      </w:r>
      <w:r w:rsidRPr="00EE069D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 dokument</w:t>
      </w:r>
      <w:r>
        <w:rPr>
          <w:rFonts w:ascii="Times New Roman" w:eastAsia="Times New Roman" w:hAnsi="Times New Roman"/>
          <w:kern w:val="3"/>
          <w:sz w:val="24"/>
          <w:szCs w:val="24"/>
          <w:lang w:bidi="hi-IN"/>
        </w:rPr>
        <w:t>u</w:t>
      </w:r>
      <w:r w:rsidRPr="00EE069D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 11400/20, COM(2020) 628 final: Sdělení Komise Evropskému parlamentu, Radě, Evropskému hospodářskému a sociálnímu výboru a Výboru regionů - Nový EVP pro výzkum a inovace</w:t>
      </w:r>
      <w:r>
        <w:rPr>
          <w:rFonts w:ascii="Times New Roman" w:eastAsia="Times New Roman" w:hAnsi="Times New Roman"/>
          <w:kern w:val="3"/>
          <w:sz w:val="24"/>
          <w:szCs w:val="24"/>
          <w:lang w:bidi="hi-IN"/>
        </w:rPr>
        <w:t>;</w:t>
      </w:r>
    </w:p>
    <w:p w:rsidR="00EE069D" w:rsidRPr="00EE069D" w:rsidRDefault="00EE069D" w:rsidP="00EE069D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EE069D" w:rsidRPr="00EE069D" w:rsidRDefault="00EE069D" w:rsidP="00EE069D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E069D">
        <w:rPr>
          <w:rFonts w:ascii="Times New Roman" w:hAnsi="Times New Roman"/>
          <w:sz w:val="24"/>
          <w:szCs w:val="24"/>
        </w:rPr>
        <w:t>II.</w:t>
      </w:r>
      <w:r>
        <w:t> </w:t>
      </w:r>
      <w:r w:rsidRPr="00EE069D">
        <w:rPr>
          <w:rFonts w:ascii="Times New Roman" w:hAnsi="Times New Roman"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ab/>
        <w:t xml:space="preserve">místopředsedu výboru posl. Karla Raise, </w:t>
      </w:r>
      <w:r w:rsidRPr="00EE069D">
        <w:rPr>
          <w:rFonts w:ascii="Times New Roman" w:hAnsi="Times New Roman"/>
          <w:sz w:val="24"/>
          <w:szCs w:val="24"/>
        </w:rPr>
        <w:t xml:space="preserve">aby o tomto usnesení informoval předsedu </w:t>
      </w:r>
      <w:r>
        <w:rPr>
          <w:rFonts w:ascii="Times New Roman" w:hAnsi="Times New Roman"/>
          <w:sz w:val="24"/>
          <w:szCs w:val="24"/>
        </w:rPr>
        <w:t>výboru pro evropské záležitosti Ondřeje Benešíka.</w:t>
      </w:r>
    </w:p>
    <w:p w:rsidR="00EE069D" w:rsidRPr="00EE069D" w:rsidRDefault="00EE069D" w:rsidP="00EE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B0F" w:rsidRDefault="00425B0F" w:rsidP="00E208E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425B0F" w:rsidRPr="00860B82" w:rsidRDefault="00425B0F" w:rsidP="00E208E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6A7FFA" w:rsidRPr="00860B82" w:rsidRDefault="006A7FFA" w:rsidP="00E208E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6A7FFA" w:rsidRPr="00860B82" w:rsidRDefault="006A7FFA" w:rsidP="00E208E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860B82" w:rsidRPr="00860B82" w:rsidRDefault="00EE069D" w:rsidP="00860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Lukáš Bartoň</w:t>
      </w:r>
      <w:r w:rsidR="006A7FFA" w:rsidRPr="00860B82">
        <w:rPr>
          <w:rFonts w:ascii="Times New Roman" w:hAnsi="Times New Roman"/>
          <w:sz w:val="24"/>
          <w:szCs w:val="24"/>
        </w:rPr>
        <w:t>, v. r.</w:t>
      </w:r>
    </w:p>
    <w:p w:rsidR="00A86B5C" w:rsidRPr="00860B82" w:rsidRDefault="002F0776" w:rsidP="00860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B82">
        <w:rPr>
          <w:rFonts w:ascii="Times New Roman" w:hAnsi="Times New Roman"/>
          <w:sz w:val="24"/>
          <w:szCs w:val="24"/>
        </w:rPr>
        <w:t>zpravodaj</w:t>
      </w:r>
    </w:p>
    <w:p w:rsidR="00A86B5C" w:rsidRPr="00860B82" w:rsidRDefault="00A86B5C" w:rsidP="00860B82">
      <w:pPr>
        <w:pStyle w:val="Standard"/>
        <w:tabs>
          <w:tab w:val="left" w:pos="567"/>
          <w:tab w:val="left" w:pos="3686"/>
          <w:tab w:val="left" w:pos="4111"/>
        </w:tabs>
        <w:rPr>
          <w:szCs w:val="24"/>
        </w:rPr>
      </w:pPr>
    </w:p>
    <w:p w:rsidR="00A86B5C" w:rsidRPr="00860B82" w:rsidRDefault="00A86B5C" w:rsidP="002F0776">
      <w:pPr>
        <w:pStyle w:val="Standard"/>
        <w:tabs>
          <w:tab w:val="left" w:pos="567"/>
          <w:tab w:val="left" w:pos="3686"/>
          <w:tab w:val="left" w:pos="4111"/>
        </w:tabs>
        <w:ind w:left="1701" w:hanging="1701"/>
        <w:rPr>
          <w:szCs w:val="24"/>
        </w:rPr>
      </w:pPr>
    </w:p>
    <w:p w:rsidR="00D23C11" w:rsidRDefault="00D23C11" w:rsidP="002F0776">
      <w:pPr>
        <w:pStyle w:val="Standard"/>
        <w:tabs>
          <w:tab w:val="left" w:pos="567"/>
          <w:tab w:val="left" w:pos="3686"/>
          <w:tab w:val="left" w:pos="4111"/>
        </w:tabs>
        <w:ind w:left="1701" w:hanging="1701"/>
        <w:rPr>
          <w:szCs w:val="24"/>
        </w:rPr>
      </w:pPr>
    </w:p>
    <w:p w:rsidR="00D23C11" w:rsidRDefault="00D23C11" w:rsidP="002F0776">
      <w:pPr>
        <w:pStyle w:val="Standard"/>
        <w:tabs>
          <w:tab w:val="left" w:pos="567"/>
          <w:tab w:val="left" w:pos="3686"/>
          <w:tab w:val="left" w:pos="4111"/>
        </w:tabs>
        <w:ind w:left="1701" w:hanging="1701"/>
        <w:rPr>
          <w:szCs w:val="24"/>
        </w:rPr>
      </w:pPr>
    </w:p>
    <w:p w:rsidR="00B20866" w:rsidRDefault="00B20866" w:rsidP="002F0776">
      <w:pPr>
        <w:pStyle w:val="Standard"/>
        <w:tabs>
          <w:tab w:val="left" w:pos="567"/>
          <w:tab w:val="left" w:pos="3686"/>
          <w:tab w:val="left" w:pos="4111"/>
        </w:tabs>
        <w:ind w:left="1701" w:hanging="1701"/>
        <w:rPr>
          <w:szCs w:val="24"/>
        </w:rPr>
      </w:pPr>
    </w:p>
    <w:p w:rsidR="00B20866" w:rsidRDefault="00B20866" w:rsidP="002F0776">
      <w:pPr>
        <w:pStyle w:val="Standard"/>
        <w:tabs>
          <w:tab w:val="left" w:pos="567"/>
          <w:tab w:val="left" w:pos="3686"/>
          <w:tab w:val="left" w:pos="4111"/>
        </w:tabs>
        <w:ind w:left="1701" w:hanging="1701"/>
        <w:rPr>
          <w:szCs w:val="24"/>
        </w:rPr>
      </w:pPr>
    </w:p>
    <w:p w:rsidR="00A86B5C" w:rsidRDefault="00A86B5C" w:rsidP="002F0776">
      <w:pPr>
        <w:pStyle w:val="Standard"/>
        <w:tabs>
          <w:tab w:val="left" w:pos="567"/>
          <w:tab w:val="left" w:pos="3686"/>
          <w:tab w:val="left" w:pos="4111"/>
        </w:tabs>
        <w:ind w:left="1701" w:hanging="1701"/>
        <w:rPr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74"/>
        <w:gridCol w:w="4648"/>
      </w:tblGrid>
      <w:tr w:rsidR="00F21D1F" w:rsidRPr="00AA613D" w:rsidTr="00A86B5C">
        <w:tc>
          <w:tcPr>
            <w:tcW w:w="4174" w:type="dxa"/>
            <w:shd w:val="clear" w:color="auto" w:fill="auto"/>
          </w:tcPr>
          <w:p w:rsidR="00F21D1F" w:rsidRPr="00AA613D" w:rsidRDefault="00CB4642" w:rsidP="002F0776">
            <w:p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František Vácha</w:t>
            </w:r>
            <w:r w:rsidR="00255964">
              <w:rPr>
                <w:rFonts w:ascii="Times New Roman" w:hAnsi="Times New Roman"/>
                <w:sz w:val="24"/>
                <w:szCs w:val="24"/>
              </w:rPr>
              <w:t>,</w:t>
            </w:r>
            <w:r w:rsidR="00F21D1F" w:rsidRPr="00AA613D">
              <w:rPr>
                <w:rFonts w:ascii="Times New Roman" w:hAnsi="Times New Roman"/>
                <w:sz w:val="24"/>
                <w:szCs w:val="24"/>
              </w:rPr>
              <w:t xml:space="preserve"> v. r.</w:t>
            </w:r>
          </w:p>
          <w:p w:rsidR="00F21D1F" w:rsidRPr="00AA613D" w:rsidRDefault="00F21D1F" w:rsidP="002F0776">
            <w:p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ověřovatel</w:t>
            </w:r>
          </w:p>
          <w:p w:rsidR="00F21D1F" w:rsidRPr="00AA613D" w:rsidRDefault="00F21D1F" w:rsidP="002F0776">
            <w:p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výboru pro vědu, vzdělání,</w:t>
            </w:r>
          </w:p>
          <w:p w:rsidR="00F21D1F" w:rsidRPr="00AA613D" w:rsidRDefault="00F21D1F" w:rsidP="002F0776">
            <w:p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kulturu, mládež a tělovýchovu</w:t>
            </w:r>
          </w:p>
          <w:p w:rsidR="00F21D1F" w:rsidRPr="00AA613D" w:rsidRDefault="00F21D1F" w:rsidP="002F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F21D1F" w:rsidRPr="00AA613D" w:rsidRDefault="00EE069D" w:rsidP="002F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Karel Rais</w:t>
            </w:r>
            <w:r w:rsidR="00F21D1F" w:rsidRPr="00AA613D">
              <w:rPr>
                <w:rFonts w:ascii="Times New Roman" w:hAnsi="Times New Roman"/>
                <w:sz w:val="24"/>
                <w:szCs w:val="24"/>
              </w:rPr>
              <w:t>, v. r.</w:t>
            </w:r>
          </w:p>
          <w:p w:rsidR="00F21D1F" w:rsidRPr="00AA613D" w:rsidRDefault="005D4580" w:rsidP="002F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 w:rsidR="00F21D1F" w:rsidRPr="00AA613D">
              <w:rPr>
                <w:rFonts w:ascii="Times New Roman" w:hAnsi="Times New Roman"/>
                <w:sz w:val="24"/>
                <w:szCs w:val="24"/>
              </w:rPr>
              <w:t>předsed</w:t>
            </w:r>
            <w:r w:rsidR="0028472A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21D1F" w:rsidRPr="00AA613D" w:rsidRDefault="00F21D1F" w:rsidP="002F0776">
            <w:p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výboru pro vědu, vzdělání,</w:t>
            </w:r>
          </w:p>
          <w:p w:rsidR="00F21D1F" w:rsidRPr="00AA613D" w:rsidRDefault="00F21D1F" w:rsidP="002F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kulturu, mládež a tělovýchovu</w:t>
            </w:r>
          </w:p>
        </w:tc>
      </w:tr>
    </w:tbl>
    <w:p w:rsidR="001A3E76" w:rsidRDefault="001A3E76" w:rsidP="002F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E76" w:rsidRDefault="001A3E76">
      <w:pPr>
        <w:suppressAutoHyphens w:val="0"/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3E76" w:rsidRPr="00321015" w:rsidRDefault="001A3E76" w:rsidP="001A3E76">
      <w:pPr>
        <w:pStyle w:val="Zkladntext20"/>
        <w:shd w:val="clear" w:color="auto" w:fill="auto"/>
        <w:jc w:val="both"/>
        <w:rPr>
          <w:b/>
          <w:bCs/>
          <w:color w:val="000000" w:themeColor="text1"/>
          <w:lang w:eastAsia="cs-CZ" w:bidi="cs-CZ"/>
        </w:rPr>
      </w:pPr>
      <w:bookmarkStart w:id="0" w:name="_GoBack"/>
      <w:r w:rsidRPr="00321015">
        <w:rPr>
          <w:b/>
          <w:bCs/>
          <w:color w:val="000000" w:themeColor="text1"/>
          <w:lang w:eastAsia="cs-CZ" w:bidi="cs-CZ"/>
        </w:rPr>
        <w:lastRenderedPageBreak/>
        <w:t xml:space="preserve">Příloha </w:t>
      </w:r>
      <w:r w:rsidR="00321015" w:rsidRPr="00321015">
        <w:rPr>
          <w:b/>
          <w:bCs/>
          <w:color w:val="000000" w:themeColor="text1"/>
          <w:lang w:eastAsia="cs-CZ" w:bidi="cs-CZ"/>
        </w:rPr>
        <w:t xml:space="preserve">k </w:t>
      </w:r>
      <w:r w:rsidRPr="00321015">
        <w:rPr>
          <w:b/>
          <w:bCs/>
          <w:color w:val="000000" w:themeColor="text1"/>
          <w:lang w:eastAsia="cs-CZ" w:bidi="cs-CZ"/>
        </w:rPr>
        <w:t xml:space="preserve">usnesení č. </w:t>
      </w:r>
      <w:r w:rsidR="00321015" w:rsidRPr="00321015">
        <w:rPr>
          <w:b/>
          <w:bCs/>
          <w:color w:val="000000" w:themeColor="text1"/>
          <w:lang w:eastAsia="cs-CZ" w:bidi="cs-CZ"/>
        </w:rPr>
        <w:t>271</w:t>
      </w:r>
    </w:p>
    <w:bookmarkEnd w:id="0"/>
    <w:p w:rsidR="001A3E76" w:rsidRDefault="001A3E76" w:rsidP="001A3E76">
      <w:pPr>
        <w:pStyle w:val="Zkladntext20"/>
        <w:shd w:val="clear" w:color="auto" w:fill="auto"/>
        <w:jc w:val="both"/>
        <w:rPr>
          <w:b/>
          <w:bCs/>
          <w:lang w:eastAsia="cs-CZ" w:bidi="cs-CZ"/>
        </w:rPr>
      </w:pPr>
    </w:p>
    <w:p w:rsidR="001A3E76" w:rsidRPr="001A3E76" w:rsidRDefault="001A3E76" w:rsidP="001A3E76">
      <w:pPr>
        <w:pStyle w:val="Zkladntext20"/>
        <w:shd w:val="clear" w:color="auto" w:fill="auto"/>
        <w:rPr>
          <w:rFonts w:ascii="Times New Roman" w:hAnsi="Times New Roman" w:cs="Times New Roman"/>
          <w:color w:val="auto"/>
        </w:rPr>
      </w:pPr>
      <w:r w:rsidRPr="001A3E76">
        <w:rPr>
          <w:rFonts w:ascii="Times New Roman" w:hAnsi="Times New Roman" w:cs="Times New Roman"/>
          <w:b/>
          <w:bCs/>
          <w:color w:val="auto"/>
          <w:lang w:eastAsia="cs-CZ" w:bidi="cs-CZ"/>
        </w:rPr>
        <w:t>SDĚLENÍ</w:t>
      </w:r>
    </w:p>
    <w:p w:rsidR="001A3E76" w:rsidRPr="001A3E76" w:rsidRDefault="001A3E76" w:rsidP="001A3E76">
      <w:pPr>
        <w:pStyle w:val="Zkladntext20"/>
        <w:shd w:val="clear" w:color="auto" w:fill="auto"/>
        <w:rPr>
          <w:rFonts w:ascii="Times New Roman" w:hAnsi="Times New Roman" w:cs="Times New Roman"/>
          <w:color w:val="auto"/>
        </w:rPr>
      </w:pPr>
      <w:r w:rsidRPr="001A3E76">
        <w:rPr>
          <w:rFonts w:ascii="Times New Roman" w:hAnsi="Times New Roman" w:cs="Times New Roman"/>
          <w:color w:val="auto"/>
          <w:lang w:eastAsia="cs-CZ" w:bidi="cs-CZ"/>
        </w:rPr>
        <w:t>Sdělení Komise Evropskému parlamentu, Radě, Evropskému hosp</w:t>
      </w:r>
      <w:r>
        <w:rPr>
          <w:rFonts w:ascii="Times New Roman" w:hAnsi="Times New Roman" w:cs="Times New Roman"/>
          <w:color w:val="auto"/>
          <w:lang w:eastAsia="cs-CZ" w:bidi="cs-CZ"/>
        </w:rPr>
        <w:t>o</w:t>
      </w:r>
      <w:r w:rsidRPr="001A3E76">
        <w:rPr>
          <w:rFonts w:ascii="Times New Roman" w:hAnsi="Times New Roman" w:cs="Times New Roman"/>
          <w:color w:val="auto"/>
          <w:lang w:eastAsia="cs-CZ" w:bidi="cs-CZ"/>
        </w:rPr>
        <w:t>dářskému a</w:t>
      </w:r>
      <w:r w:rsidRPr="001A3E76">
        <w:rPr>
          <w:rFonts w:ascii="Times New Roman" w:hAnsi="Times New Roman" w:cs="Times New Roman"/>
          <w:color w:val="auto"/>
          <w:lang w:eastAsia="cs-CZ" w:bidi="cs-CZ"/>
        </w:rPr>
        <w:br/>
        <w:t>sociálnímu výboru a Výboru regionů - Nový EVP pro výzkum a inovace</w:t>
      </w:r>
    </w:p>
    <w:p w:rsidR="001A3E76" w:rsidRDefault="001A3E76" w:rsidP="001A3E76">
      <w:pPr>
        <w:pStyle w:val="Zkladntext20"/>
        <w:shd w:val="clear" w:color="auto" w:fill="auto"/>
        <w:ind w:right="280"/>
        <w:rPr>
          <w:rFonts w:ascii="Times New Roman" w:hAnsi="Times New Roman" w:cs="Times New Roman"/>
          <w:color w:val="auto"/>
          <w:lang w:eastAsia="cs-CZ" w:bidi="cs-CZ"/>
        </w:rPr>
      </w:pPr>
      <w:r w:rsidRPr="001A3E76">
        <w:rPr>
          <w:rFonts w:ascii="Times New Roman" w:hAnsi="Times New Roman" w:cs="Times New Roman"/>
          <w:color w:val="auto"/>
          <w:lang w:eastAsia="cs-CZ" w:bidi="cs-CZ"/>
        </w:rPr>
        <w:t>KOM(2020) 628 v konečném znění, kód Rady 11400/20</w:t>
      </w:r>
    </w:p>
    <w:p w:rsidR="001A3E76" w:rsidRPr="001A3E76" w:rsidRDefault="001A3E76" w:rsidP="001A3E76">
      <w:pPr>
        <w:pStyle w:val="Zkladntext20"/>
        <w:shd w:val="clear" w:color="auto" w:fill="auto"/>
        <w:ind w:right="280"/>
        <w:rPr>
          <w:rFonts w:ascii="Times New Roman" w:hAnsi="Times New Roman" w:cs="Times New Roman"/>
          <w:color w:val="auto"/>
        </w:rPr>
      </w:pPr>
    </w:p>
    <w:p w:rsidR="001A3E76" w:rsidRPr="001A3E76" w:rsidRDefault="001A3E76" w:rsidP="001A3E7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rPr>
          <w:rFonts w:ascii="Times New Roman" w:hAnsi="Times New Roman" w:cs="Times New Roman"/>
        </w:rPr>
      </w:pPr>
      <w:bookmarkStart w:id="1" w:name="bookmark3"/>
      <w:r w:rsidRPr="001A3E76">
        <w:rPr>
          <w:rFonts w:ascii="Times New Roman" w:hAnsi="Times New Roman" w:cs="Times New Roman"/>
          <w:lang w:eastAsia="cs-CZ" w:bidi="cs-CZ"/>
        </w:rPr>
        <w:t>Právní základ:</w:t>
      </w:r>
      <w:bookmarkEnd w:id="1"/>
    </w:p>
    <w:p w:rsidR="001A3E76" w:rsidRPr="001A3E76" w:rsidRDefault="001A3E76" w:rsidP="001A3E76">
      <w:pPr>
        <w:pStyle w:val="Zkladntext1"/>
        <w:shd w:val="clear" w:color="auto" w:fill="auto"/>
        <w:spacing w:after="28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Dokument informační povahy.</w:t>
      </w:r>
    </w:p>
    <w:p w:rsidR="001A3E76" w:rsidRPr="001A3E76" w:rsidRDefault="001A3E76" w:rsidP="001A3E7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rPr>
          <w:rFonts w:ascii="Times New Roman" w:hAnsi="Times New Roman" w:cs="Times New Roman"/>
        </w:rPr>
      </w:pPr>
      <w:bookmarkStart w:id="2" w:name="bookmark4"/>
      <w:r w:rsidRPr="001A3E76">
        <w:rPr>
          <w:rFonts w:ascii="Times New Roman" w:hAnsi="Times New Roman" w:cs="Times New Roman"/>
          <w:lang w:eastAsia="cs-CZ" w:bidi="cs-CZ"/>
        </w:rPr>
        <w:t>Datum zaslání Poslanecké sněmovně prostřednictvím VEZ:</w:t>
      </w:r>
      <w:bookmarkEnd w:id="2"/>
    </w:p>
    <w:p w:rsidR="001A3E76" w:rsidRPr="001A3E76" w:rsidRDefault="001A3E76" w:rsidP="001A3E76">
      <w:pPr>
        <w:pStyle w:val="Zkladntext1"/>
        <w:shd w:val="clear" w:color="auto" w:fill="auto"/>
        <w:spacing w:after="28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19. 10. 2020</w:t>
      </w:r>
    </w:p>
    <w:p w:rsidR="001A3E76" w:rsidRPr="001A3E76" w:rsidRDefault="001A3E76" w:rsidP="001A3E7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rPr>
          <w:rFonts w:ascii="Times New Roman" w:hAnsi="Times New Roman" w:cs="Times New Roman"/>
        </w:rPr>
      </w:pPr>
      <w:bookmarkStart w:id="3" w:name="bookmark5"/>
      <w:r w:rsidRPr="001A3E76">
        <w:rPr>
          <w:rFonts w:ascii="Times New Roman" w:hAnsi="Times New Roman" w:cs="Times New Roman"/>
          <w:lang w:eastAsia="cs-CZ" w:bidi="cs-CZ"/>
        </w:rPr>
        <w:t>Datum projednání ve VEZ:</w:t>
      </w:r>
      <w:bookmarkEnd w:id="3"/>
    </w:p>
    <w:p w:rsidR="001A3E76" w:rsidRPr="001A3E76" w:rsidRDefault="001A3E76" w:rsidP="001A3E76">
      <w:pPr>
        <w:pStyle w:val="Zkladntext1"/>
        <w:shd w:val="clear" w:color="auto" w:fill="auto"/>
        <w:spacing w:after="28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4. 11. 2020 (1. kolo)</w:t>
      </w:r>
    </w:p>
    <w:p w:rsidR="001A3E76" w:rsidRPr="001A3E76" w:rsidRDefault="001A3E76" w:rsidP="001A3E7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rPr>
          <w:rFonts w:ascii="Times New Roman" w:hAnsi="Times New Roman" w:cs="Times New Roman"/>
        </w:rPr>
      </w:pPr>
      <w:bookmarkStart w:id="4" w:name="bookmark6"/>
      <w:r w:rsidRPr="001A3E76">
        <w:rPr>
          <w:rFonts w:ascii="Times New Roman" w:hAnsi="Times New Roman" w:cs="Times New Roman"/>
          <w:lang w:eastAsia="cs-CZ" w:bidi="cs-CZ"/>
        </w:rPr>
        <w:t>Procedura:</w:t>
      </w:r>
      <w:bookmarkEnd w:id="4"/>
    </w:p>
    <w:p w:rsidR="001A3E76" w:rsidRPr="001A3E76" w:rsidRDefault="001A3E76" w:rsidP="001A3E76">
      <w:pPr>
        <w:pStyle w:val="Zkladntext1"/>
        <w:shd w:val="clear" w:color="auto" w:fill="auto"/>
        <w:spacing w:after="28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Není projednáváno legislativním postupem, jedná se o dokument nelegislativní povahy, který nepodléhá schválení v Radě a Evropském parlamentu. Procedura je ukončena jeho přijetím a předložením těmto institucím.</w:t>
      </w:r>
    </w:p>
    <w:p w:rsidR="001A3E76" w:rsidRPr="001A3E76" w:rsidRDefault="001A3E76" w:rsidP="001A3E7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rPr>
          <w:rFonts w:ascii="Times New Roman" w:hAnsi="Times New Roman" w:cs="Times New Roman"/>
        </w:rPr>
      </w:pPr>
      <w:bookmarkStart w:id="5" w:name="bookmark7"/>
      <w:r w:rsidRPr="001A3E76">
        <w:rPr>
          <w:rFonts w:ascii="Times New Roman" w:hAnsi="Times New Roman" w:cs="Times New Roman"/>
          <w:lang w:eastAsia="cs-CZ" w:bidi="cs-CZ"/>
        </w:rPr>
        <w:t>Předběžné stanovisko vlády (dle § 109a odst. 1 jednacího řádu PS):</w:t>
      </w:r>
      <w:bookmarkEnd w:id="5"/>
    </w:p>
    <w:p w:rsidR="001A3E76" w:rsidRPr="001A3E76" w:rsidRDefault="001A3E76" w:rsidP="001A3E76">
      <w:pPr>
        <w:pStyle w:val="Zkladntext1"/>
        <w:shd w:val="clear" w:color="auto" w:fill="auto"/>
        <w:spacing w:after="28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Datované dnem 29. října 2020, doručené do výboru pro evropské záležitosti dne 4. listopadu 2020 prostřednictvím systému ISAP.</w:t>
      </w:r>
    </w:p>
    <w:p w:rsidR="001A3E76" w:rsidRPr="001A3E76" w:rsidRDefault="001A3E76" w:rsidP="001A3E7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rPr>
          <w:rFonts w:ascii="Times New Roman" w:hAnsi="Times New Roman" w:cs="Times New Roman"/>
        </w:rPr>
      </w:pPr>
      <w:bookmarkStart w:id="6" w:name="bookmark8"/>
      <w:bookmarkStart w:id="7" w:name="bookmark9"/>
      <w:r w:rsidRPr="001A3E76">
        <w:rPr>
          <w:rFonts w:ascii="Times New Roman" w:hAnsi="Times New Roman" w:cs="Times New Roman"/>
          <w:lang w:eastAsia="cs-CZ" w:bidi="cs-CZ"/>
        </w:rPr>
        <w:t>Hodnocení z hlediska principu subsidiarity:</w:t>
      </w:r>
      <w:bookmarkEnd w:id="6"/>
      <w:bookmarkEnd w:id="7"/>
    </w:p>
    <w:p w:rsidR="001A3E76" w:rsidRPr="001A3E76" w:rsidRDefault="001A3E76" w:rsidP="001A3E76">
      <w:pPr>
        <w:pStyle w:val="Zkladntext1"/>
        <w:shd w:val="clear" w:color="auto" w:fill="auto"/>
        <w:spacing w:after="280"/>
        <w:ind w:right="20"/>
        <w:jc w:val="center"/>
        <w:rPr>
          <w:rFonts w:ascii="Times New Roman" w:hAnsi="Times New Roman" w:cs="Times New Roman"/>
        </w:rPr>
      </w:pPr>
      <w:bookmarkStart w:id="8" w:name="bookmark10"/>
      <w:r w:rsidRPr="001A3E76">
        <w:rPr>
          <w:rFonts w:ascii="Times New Roman" w:hAnsi="Times New Roman" w:cs="Times New Roman"/>
          <w:lang w:eastAsia="cs-CZ" w:bidi="cs-CZ"/>
        </w:rPr>
        <w:t>Hodnocení z hlediska principu subsidiarity se neuplatní, jedná se o dokument informační povahy.</w:t>
      </w:r>
      <w:bookmarkEnd w:id="8"/>
    </w:p>
    <w:p w:rsidR="001A3E76" w:rsidRPr="001A3E76" w:rsidRDefault="001A3E76" w:rsidP="001A3E76">
      <w:pPr>
        <w:pStyle w:val="Nadpis40"/>
        <w:keepNext/>
        <w:keepLines/>
        <w:shd w:val="clear" w:color="auto" w:fill="auto"/>
        <w:tabs>
          <w:tab w:val="left" w:leader="underscore" w:pos="9739"/>
        </w:tabs>
        <w:jc w:val="both"/>
        <w:rPr>
          <w:rFonts w:ascii="Times New Roman" w:hAnsi="Times New Roman" w:cs="Times New Roman"/>
        </w:rPr>
      </w:pPr>
      <w:bookmarkStart w:id="9" w:name="bookmark11"/>
      <w:r w:rsidRPr="001A3E76">
        <w:rPr>
          <w:rFonts w:ascii="Times New Roman" w:hAnsi="Times New Roman" w:cs="Times New Roman"/>
          <w:b w:val="0"/>
          <w:bCs w:val="0"/>
          <w:sz w:val="24"/>
          <w:szCs w:val="24"/>
          <w:lang w:eastAsia="cs-CZ" w:bidi="cs-CZ"/>
        </w:rPr>
        <w:t>•</w:t>
      </w:r>
      <w:r w:rsidRPr="001A3E76">
        <w:rPr>
          <w:rFonts w:ascii="Times New Roman" w:hAnsi="Times New Roman" w:cs="Times New Roman"/>
          <w:u w:val="single"/>
          <w:lang w:eastAsia="cs-CZ" w:bidi="cs-CZ"/>
        </w:rPr>
        <w:t>Odůvodnění a předmět:</w:t>
      </w:r>
      <w:r w:rsidRPr="001A3E76">
        <w:rPr>
          <w:rFonts w:ascii="Times New Roman" w:hAnsi="Times New Roman" w:cs="Times New Roman"/>
          <w:lang w:eastAsia="cs-CZ" w:bidi="cs-CZ"/>
        </w:rPr>
        <w:tab/>
      </w:r>
      <w:bookmarkEnd w:id="9"/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Evropský výzkumný prostor (EVP) byl založen v roce 2000 s cílem vytvořit pro EU společný vědecký a technologický prostor , v jehož rámci bude fungovat jednotný trh pro výzkum a inovace a volný pohyb výzkumných pracovníků, vědeckých poznatků a inovací. Předkládané</w:t>
      </w:r>
      <w:hyperlink r:id="rId7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sdělení Nový EVP pro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</w:t>
      </w:r>
      <w:hyperlink r:id="rId8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výzkum a inovace 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(dále jen „sdělení“) představuje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nový přístup k dalšímu rozvoji EVP</w:t>
      </w:r>
      <w:r w:rsidRPr="001A3E76">
        <w:rPr>
          <w:rFonts w:ascii="Times New Roman" w:hAnsi="Times New Roman" w:cs="Times New Roman"/>
          <w:lang w:eastAsia="cs-CZ" w:bidi="cs-CZ"/>
        </w:rPr>
        <w:t xml:space="preserve">. Komise jím reaguje jednak na skutečnost, že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výkonnost EU v oblasti výzkumu a inovací od roku 2012 stagnuje</w:t>
      </w:r>
      <w:r w:rsidRPr="001A3E76">
        <w:rPr>
          <w:rFonts w:ascii="Times New Roman" w:hAnsi="Times New Roman" w:cs="Times New Roman"/>
          <w:lang w:eastAsia="cs-CZ" w:bidi="cs-CZ"/>
        </w:rPr>
        <w:t xml:space="preserve">, jednak na nutnost přizpůsobit se změnám, které přináší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ekologická a digitální transformace</w:t>
      </w:r>
      <w:r w:rsidRPr="001A3E76">
        <w:rPr>
          <w:rFonts w:ascii="Times New Roman" w:hAnsi="Times New Roman" w:cs="Times New Roman"/>
          <w:lang w:eastAsia="cs-CZ" w:bidi="cs-CZ"/>
        </w:rPr>
        <w:t xml:space="preserve">, a konečně na potřebu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posílit odolnost EU a její připravenost na budoucí krize</w:t>
      </w:r>
      <w:r w:rsidRPr="001A3E76">
        <w:rPr>
          <w:rFonts w:ascii="Times New Roman" w:hAnsi="Times New Roman" w:cs="Times New Roman"/>
          <w:lang w:eastAsia="cs-CZ" w:bidi="cs-CZ"/>
        </w:rPr>
        <w:t xml:space="preserve">. Nový přístup spočívá v prohlubování EVP ve stávající v podobě a v jeho rozšíření o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tři nové priority</w:t>
      </w:r>
      <w:r w:rsidRPr="001A3E76">
        <w:rPr>
          <w:rFonts w:ascii="Times New Roman" w:hAnsi="Times New Roman" w:cs="Times New Roman"/>
          <w:lang w:eastAsia="cs-CZ" w:bidi="cs-CZ"/>
        </w:rPr>
        <w:t xml:space="preserve">: 1) stanovování priorit v oblasti investic a reforem, 2) zlepšení přístupu k excelenci a 3) přenášení výsledků výzkumu a inovací do hospodářství. Součástí sdělení je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plán pro EVP</w:t>
      </w:r>
      <w:r w:rsidRPr="001A3E76">
        <w:rPr>
          <w:rFonts w:ascii="Times New Roman" w:hAnsi="Times New Roman" w:cs="Times New Roman"/>
          <w:lang w:eastAsia="cs-CZ" w:bidi="cs-CZ"/>
        </w:rPr>
        <w:t>, který uvádí konkrétní opatření, jež by měla být realizována v letech 2021-2024.</w:t>
      </w:r>
    </w:p>
    <w:p w:rsidR="001A3E76" w:rsidRPr="001A3E76" w:rsidRDefault="001A3E76" w:rsidP="001A3E76">
      <w:pPr>
        <w:pStyle w:val="Zkladntext1"/>
        <w:shd w:val="clear" w:color="auto" w:fill="auto"/>
        <w:spacing w:line="259" w:lineRule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Evropský výzkumný prostor (EVP) byl založen v roce 2000 v souvislosti s Lisabonskou strategií a od roku 2009 je jeho vytvoření výslovným cílem EU vyjádřeným v</w:t>
      </w:r>
      <w:hyperlink r:id="rId9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článku 179 Smlouvy o fungování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</w:t>
      </w:r>
      <w:hyperlink r:id="rId10" w:history="1">
        <w:r w:rsidRPr="001A3E76">
          <w:rPr>
            <w:rFonts w:ascii="Times New Roman" w:hAnsi="Times New Roman" w:cs="Times New Roman"/>
            <w:lang w:eastAsia="cs-CZ" w:bidi="cs-CZ"/>
          </w:rPr>
          <w:t>Evropské unie.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Jeho klíčovým prvkem je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zásada excelence</w:t>
      </w:r>
      <w:r w:rsidRPr="001A3E76">
        <w:rPr>
          <w:rFonts w:ascii="Times New Roman" w:hAnsi="Times New Roman" w:cs="Times New Roman"/>
          <w:lang w:eastAsia="cs-CZ" w:bidi="cs-CZ"/>
        </w:rPr>
        <w:t>, tj. závazek podporovat nejlepší výzkumné týmy a projekty bez ohledu na jakékoli aspekty. Mezi jeho dosavadní úspěchy patří vznik 37 evropských výzkumných infrastruktur v souvislosti s prací Evropského strategického fóra pro výzkumné infrastruktury (ESFRI), realizace vnitrostátních investic do společných výzkumných programů v celkové výši více než 7 miliard EUR (od roku 2004), usnadnění mobility výzkumných pracovníků, mj. prostřednictvím</w:t>
      </w:r>
      <w:hyperlink r:id="rId11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Evropské charty pro výzkumné pracovníky a Kodexu chování pro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</w:t>
      </w:r>
      <w:hyperlink r:id="rId12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přijímání výzkumných pracovníků </w:t>
        </w:r>
      </w:hyperlink>
      <w:r w:rsidRPr="001A3E76">
        <w:rPr>
          <w:rFonts w:ascii="Times New Roman" w:hAnsi="Times New Roman" w:cs="Times New Roman"/>
          <w:lang w:eastAsia="cs-CZ" w:bidi="cs-CZ"/>
        </w:rPr>
        <w:t>a</w:t>
      </w:r>
      <w:hyperlink r:id="rId13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iniciativy EURAXESS,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nebo zlepšení přístupu k otevřeným, bezplatným a opakovaně použitelným vědeckým informacím prostřednictvím</w:t>
      </w:r>
      <w:hyperlink r:id="rId14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iniciativy Otevřená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</w:t>
      </w:r>
      <w:hyperlink r:id="rId15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věda </w:t>
        </w:r>
      </w:hyperlink>
      <w:r w:rsidRPr="001A3E76">
        <w:rPr>
          <w:rFonts w:ascii="Times New Roman" w:hAnsi="Times New Roman" w:cs="Times New Roman"/>
          <w:lang w:eastAsia="cs-CZ" w:bidi="cs-CZ"/>
        </w:rPr>
        <w:t>a</w:t>
      </w:r>
      <w:hyperlink r:id="rId16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evropského cloudu pro otevřenou vědu.</w:t>
        </w:r>
      </w:hyperlink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lastRenderedPageBreak/>
        <w:t>Přestože je EU stále celosvětovým lídrem v oblasti výzkumu a inovací, její výkonnost od roku 2012 stagnuje, zejména v porovnání s asijskými státy. Hlavním problémem je podle</w:t>
      </w:r>
      <w:hyperlink r:id="rId17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zprávy o pokroku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</w:t>
      </w:r>
      <w:hyperlink r:id="rId18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EVP za rok 2018 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především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nízká úroveň investic</w:t>
      </w:r>
      <w:r w:rsidRPr="001A3E76">
        <w:rPr>
          <w:rFonts w:ascii="Times New Roman" w:hAnsi="Times New Roman" w:cs="Times New Roman"/>
          <w:lang w:eastAsia="cs-CZ" w:bidi="cs-CZ"/>
        </w:rPr>
        <w:t>: investice EU do výzkumu a vývoje činí 2,19 % HDP (2018), což stále nedosahuje cíle 3 %, veřejné investice od roku 2010 stagnují a investice podniků (1,45 % HDP) jsou nadále výrazně nižší než u hlavních konkurentů EU</w:t>
      </w:r>
      <w:r w:rsidRPr="001A3E76">
        <w:rPr>
          <w:rFonts w:ascii="Times New Roman" w:hAnsi="Times New Roman" w:cs="Times New Roman"/>
          <w:vertAlign w:val="superscript"/>
          <w:lang w:eastAsia="cs-CZ" w:bidi="cs-CZ"/>
        </w:rPr>
        <w:footnoteReference w:id="1"/>
      </w:r>
      <w:r w:rsidRPr="001A3E76">
        <w:rPr>
          <w:rFonts w:ascii="Times New Roman" w:hAnsi="Times New Roman" w:cs="Times New Roman"/>
          <w:lang w:eastAsia="cs-CZ" w:bidi="cs-CZ"/>
        </w:rPr>
        <w:t>. K dalším problémům patří zaostávání při přenosu výsledků výzkumu do reálné ekonomiky, stagnující podíl na počtu významně vlivných vědeckých publikací nebo pomalý a nedostatečný pokrok v oblasti rovnosti žen a mužů ve výzkumu a inovacích.</w:t>
      </w:r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Ke stávajícím problémům se v posledních letech přidávají nové výzvy související s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ekologickou a digitální transformací </w:t>
      </w:r>
      <w:r w:rsidRPr="001A3E76">
        <w:rPr>
          <w:rFonts w:ascii="Times New Roman" w:hAnsi="Times New Roman" w:cs="Times New Roman"/>
          <w:lang w:eastAsia="cs-CZ" w:bidi="cs-CZ"/>
        </w:rPr>
        <w:t xml:space="preserve">(dosažení klimatické neutrality, zlepšení připravenosti na krize a odolnosti). Pandemie covidu-19 prokázala důležitost spolupráce v oblasti výzkumu a inovací pro zajištění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účinné společné reakce na krize</w:t>
      </w:r>
      <w:r w:rsidRPr="001A3E76">
        <w:rPr>
          <w:rFonts w:ascii="Times New Roman" w:hAnsi="Times New Roman" w:cs="Times New Roman"/>
          <w:lang w:eastAsia="cs-CZ" w:bidi="cs-CZ"/>
        </w:rPr>
        <w:t>; příkladem rychlé společné reakce je akční plán</w:t>
      </w:r>
      <w:hyperlink r:id="rId19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ERAvsCorona 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nebo </w:t>
      </w:r>
      <w:hyperlink r:id="rId20" w:history="1">
        <w:r w:rsidRPr="001A3E76">
          <w:rPr>
            <w:rFonts w:ascii="Times New Roman" w:hAnsi="Times New Roman" w:cs="Times New Roman"/>
            <w:lang w:eastAsia="cs-CZ" w:bidi="cs-CZ"/>
          </w:rPr>
          <w:t>mezinárodní dárcovská konference.</w:t>
        </w:r>
      </w:hyperlink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Předkládané sdělení představuje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nový přístup k dalšímu rozvoji EVP </w:t>
      </w:r>
      <w:r w:rsidRPr="001A3E76">
        <w:rPr>
          <w:rFonts w:ascii="Times New Roman" w:hAnsi="Times New Roman" w:cs="Times New Roman"/>
          <w:lang w:eastAsia="cs-CZ" w:bidi="cs-CZ"/>
        </w:rPr>
        <w:t>za účelem urychlení ekologické a digitální transformace Evropy, posílení její odolnosti a připravenosti čelit budoucím krizím a podpory její konkurenceschopnosti ve výzkumu v globálním měřítku. Navržený přístup propojuje EVP s dalšími iniciativami navazujícími na Zelenou dohodu pro Evropu, zejména</w:t>
      </w:r>
      <w:hyperlink r:id="rId21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novou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</w:t>
      </w:r>
      <w:hyperlink r:id="rId22" w:history="1">
        <w:r w:rsidRPr="001A3E76">
          <w:rPr>
            <w:rFonts w:ascii="Times New Roman" w:hAnsi="Times New Roman" w:cs="Times New Roman"/>
            <w:lang w:eastAsia="cs-CZ" w:bidi="cs-CZ"/>
          </w:rPr>
          <w:t>průmyslovou strategií pro Evropu,</w:t>
        </w:r>
      </w:hyperlink>
      <w:hyperlink r:id="rId23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obnovenou agendou dovedností pro udržitelnou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</w:t>
      </w:r>
      <w:hyperlink r:id="rId24" w:history="1">
        <w:r w:rsidRPr="001A3E76">
          <w:rPr>
            <w:rFonts w:ascii="Times New Roman" w:hAnsi="Times New Roman" w:cs="Times New Roman"/>
            <w:lang w:eastAsia="cs-CZ" w:bidi="cs-CZ"/>
          </w:rPr>
          <w:t>konkurenceschopnost, sociální spravedlnost a odolnost,</w:t>
        </w:r>
      </w:hyperlink>
      <w:hyperlink r:id="rId25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akčním plánem digitálního vzdělávání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</w:t>
      </w:r>
      <w:hyperlink r:id="rId26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2021-2027 </w:t>
        </w:r>
      </w:hyperlink>
      <w:r w:rsidRPr="001A3E76">
        <w:rPr>
          <w:rFonts w:ascii="Times New Roman" w:hAnsi="Times New Roman" w:cs="Times New Roman"/>
          <w:lang w:eastAsia="cs-CZ" w:bidi="cs-CZ"/>
        </w:rPr>
        <w:t>a</w:t>
      </w:r>
      <w:hyperlink r:id="rId27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sdělením o vytvoření Evropského prostoru vzdělávání do roku 2025.</w:t>
        </w:r>
      </w:hyperlink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Sdělení doplňuje</w:t>
      </w:r>
      <w:hyperlink r:id="rId28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pracovní dokument,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který podrobněji popisuje nový přístup i jednotlivá opatření navržená v jeho rámci.</w:t>
      </w:r>
    </w:p>
    <w:p w:rsidR="001A3E76" w:rsidRPr="001A3E76" w:rsidRDefault="001A3E76" w:rsidP="001A3E76">
      <w:pPr>
        <w:pStyle w:val="Zkladn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  <w:bookmarkStart w:id="10" w:name="bookmark12"/>
      <w:r w:rsidRPr="001A3E76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•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Obsah a dopad:</w:t>
      </w:r>
      <w:bookmarkEnd w:id="10"/>
    </w:p>
    <w:p w:rsidR="001A3E76" w:rsidRPr="001A3E76" w:rsidRDefault="001A3E76" w:rsidP="001A3E76">
      <w:pPr>
        <w:pStyle w:val="Zkladntext1"/>
        <w:shd w:val="clear" w:color="auto" w:fill="auto"/>
        <w:spacing w:after="14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Nový přístup k dalšímu rozvoji EVP navrhovaný Komisí zahrnuje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čtyři strategické cíle</w:t>
      </w:r>
      <w:r w:rsidRPr="001A3E76">
        <w:rPr>
          <w:rFonts w:ascii="Times New Roman" w:hAnsi="Times New Roman" w:cs="Times New Roman"/>
          <w:lang w:eastAsia="cs-CZ" w:bidi="cs-CZ"/>
        </w:rPr>
        <w:t>. Kromě prohlubování EVP v rámci stávajících priorit rozšiřují tyto cíle EVP o nové priority. Těmito cíli jsou:</w:t>
      </w:r>
    </w:p>
    <w:p w:rsidR="001A3E76" w:rsidRPr="001A3E76" w:rsidRDefault="001A3E76" w:rsidP="001A3E76">
      <w:pPr>
        <w:pStyle w:val="Zkladntext1"/>
        <w:numPr>
          <w:ilvl w:val="0"/>
          <w:numId w:val="2"/>
        </w:numPr>
        <w:shd w:val="clear" w:color="auto" w:fill="auto"/>
        <w:tabs>
          <w:tab w:val="left" w:pos="1072"/>
        </w:tabs>
        <w:spacing w:after="0"/>
        <w:ind w:left="1080" w:hanging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stanovování priorit v oblasti investic a reforem;</w:t>
      </w:r>
    </w:p>
    <w:p w:rsidR="001A3E76" w:rsidRPr="001A3E76" w:rsidRDefault="001A3E76" w:rsidP="001A3E76">
      <w:pPr>
        <w:pStyle w:val="Zkladntext1"/>
        <w:numPr>
          <w:ilvl w:val="0"/>
          <w:numId w:val="2"/>
        </w:numPr>
        <w:shd w:val="clear" w:color="auto" w:fill="auto"/>
        <w:tabs>
          <w:tab w:val="left" w:pos="1072"/>
        </w:tabs>
        <w:spacing w:after="0"/>
        <w:ind w:left="1080" w:hanging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zlepšení přístupu k excelenci;</w:t>
      </w:r>
    </w:p>
    <w:p w:rsidR="001A3E76" w:rsidRPr="001A3E76" w:rsidRDefault="001A3E76" w:rsidP="001A3E76">
      <w:pPr>
        <w:pStyle w:val="Zkladntext1"/>
        <w:numPr>
          <w:ilvl w:val="0"/>
          <w:numId w:val="2"/>
        </w:numPr>
        <w:shd w:val="clear" w:color="auto" w:fill="auto"/>
        <w:tabs>
          <w:tab w:val="left" w:pos="1072"/>
        </w:tabs>
        <w:spacing w:after="0"/>
        <w:ind w:left="1080" w:hanging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přenášení výsledků výzkumu a inovací do hospodářství a</w:t>
      </w:r>
    </w:p>
    <w:p w:rsidR="001A3E76" w:rsidRPr="001A3E76" w:rsidRDefault="001A3E76" w:rsidP="001A3E76">
      <w:pPr>
        <w:pStyle w:val="Zkladntext1"/>
        <w:numPr>
          <w:ilvl w:val="0"/>
          <w:numId w:val="2"/>
        </w:numPr>
        <w:shd w:val="clear" w:color="auto" w:fill="auto"/>
        <w:tabs>
          <w:tab w:val="left" w:pos="1072"/>
        </w:tabs>
        <w:spacing w:after="140"/>
        <w:ind w:left="1080" w:hanging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prohlubování EVP.</w:t>
      </w:r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Ke splnění těchto cílů navrhuje Komise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čtrnáct opatření</w:t>
      </w:r>
      <w:r w:rsidRPr="001A3E76">
        <w:rPr>
          <w:rFonts w:ascii="Times New Roman" w:hAnsi="Times New Roman" w:cs="Times New Roman"/>
          <w:lang w:eastAsia="cs-CZ" w:bidi="cs-CZ"/>
        </w:rPr>
        <w:t xml:space="preserve">, která by měla být zavedena ve spolupráci s členskými státy a zúčastněnými stranami v letech 2021-2024. Jsou uvedena v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plánu pro EVP</w:t>
      </w:r>
      <w:r w:rsidRPr="001A3E76">
        <w:rPr>
          <w:rFonts w:ascii="Times New Roman" w:hAnsi="Times New Roman" w:cs="Times New Roman"/>
          <w:lang w:eastAsia="cs-CZ" w:bidi="cs-CZ"/>
        </w:rPr>
        <w:t>, který je obsažen v dodatku sdělení a jehož součástí je i harmonogram realizace jednotlivých opatření.</w:t>
      </w:r>
    </w:p>
    <w:p w:rsidR="001A3E76" w:rsidRPr="001A3E76" w:rsidRDefault="001A3E76" w:rsidP="001A3E76">
      <w:pPr>
        <w:pStyle w:val="Zkladntext1"/>
        <w:shd w:val="clear" w:color="auto" w:fill="auto"/>
        <w:spacing w:after="240" w:line="259" w:lineRule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Současně Komise navrhuje, aby členské státy přijaly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Pakt pro výzkum a inovace v Evropě</w:t>
      </w:r>
      <w:r w:rsidRPr="001A3E76">
        <w:rPr>
          <w:rFonts w:ascii="Times New Roman" w:hAnsi="Times New Roman" w:cs="Times New Roman"/>
          <w:lang w:eastAsia="cs-CZ" w:bidi="cs-CZ"/>
        </w:rPr>
        <w:t xml:space="preserve">, nezávaznou iniciativu, jež má být předložena do první poloviny roku 2021. Prostřednictvím paktu by měl být zefektivněn proces správy a řízení EVP. Jeho cílem bude zajištění realizace cílů nového EVP, stanovení společných hodnot a zásad a určení oblastí, v nichž členské státy budou společně rozvíjet prioritní činnosti. Kromě toho bude vytvořeno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Fórum EVP pro transformaci </w:t>
      </w:r>
      <w:r w:rsidRPr="001A3E76">
        <w:rPr>
          <w:rFonts w:ascii="Times New Roman" w:hAnsi="Times New Roman" w:cs="Times New Roman"/>
          <w:lang w:eastAsia="cs-CZ" w:bidi="cs-CZ"/>
        </w:rPr>
        <w:t xml:space="preserve">na podporu koordinace činností členských států. Pokrok na úrovni EU i vnitrostátní úrovni bude každoročně prezentován prostřednictvím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přehledu výsledků EVP</w:t>
      </w:r>
      <w:r w:rsidRPr="001A3E76">
        <w:rPr>
          <w:rFonts w:ascii="Times New Roman" w:hAnsi="Times New Roman" w:cs="Times New Roman"/>
          <w:lang w:eastAsia="cs-CZ" w:bidi="cs-CZ"/>
        </w:rPr>
        <w:t>, který bude rovněž sloužit jako podklad pro revizi priorit a opatření v plánu pro EVP a jako podklad pro evropský semestr.</w:t>
      </w:r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b/>
          <w:bCs/>
          <w:u w:val="single"/>
          <w:lang w:eastAsia="cs-CZ" w:bidi="cs-CZ"/>
        </w:rPr>
        <w:t>Cíl 1 - Stanovování priorit v oblasti investic a reforem</w:t>
      </w:r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Opatření v této oblasti jsou zaměřena na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usnadnění evropských a vnitrostátních investic a reforem </w:t>
      </w:r>
      <w:r w:rsidRPr="001A3E76">
        <w:rPr>
          <w:rFonts w:ascii="Times New Roman" w:hAnsi="Times New Roman" w:cs="Times New Roman"/>
          <w:lang w:eastAsia="cs-CZ" w:bidi="cs-CZ"/>
        </w:rPr>
        <w:t xml:space="preserve">směřujících k prioritám EU, jako je přechod na čistou energii, snižování emisí uhlíku a modernizace průmyslu, inteligentní a udržitelná mobilita a oběhové hospodářství. K dispozici je řada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finančních nástrojů</w:t>
      </w:r>
      <w:r w:rsidRPr="001A3E76">
        <w:rPr>
          <w:rFonts w:ascii="Times New Roman" w:hAnsi="Times New Roman" w:cs="Times New Roman"/>
          <w:lang w:eastAsia="cs-CZ" w:bidi="cs-CZ"/>
        </w:rPr>
        <w:t xml:space="preserve">, především program Horizont Evropa, politika soudržnosti a facilita na podporu oživení a odolnosti v rámci nástroje Next Generation EU. Základním kamenem všech investic v rámci EVP zůstává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zásada excelence</w:t>
      </w:r>
      <w:r w:rsidRPr="001A3E76">
        <w:rPr>
          <w:rFonts w:ascii="Times New Roman" w:hAnsi="Times New Roman" w:cs="Times New Roman"/>
          <w:lang w:eastAsia="cs-CZ" w:bidi="cs-CZ"/>
        </w:rPr>
        <w:t>. Prostřednictvím facility na podporu oživení a odolnosti by měly být podpořeny především projekty přeshraniční spolupráce či významné projekty společného evropského zájmu.</w:t>
      </w:r>
    </w:p>
    <w:p w:rsidR="001A3E76" w:rsidRPr="001A3E76" w:rsidRDefault="001A3E76" w:rsidP="001A3E76">
      <w:pPr>
        <w:pStyle w:val="Zkladntext1"/>
        <w:shd w:val="clear" w:color="auto" w:fill="auto"/>
        <w:spacing w:after="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b/>
          <w:bCs/>
          <w:lang w:eastAsia="cs-CZ" w:bidi="cs-CZ"/>
        </w:rPr>
        <w:t>Úroveň investic je třeba zvýšit</w:t>
      </w:r>
      <w:r w:rsidRPr="001A3E76">
        <w:rPr>
          <w:rFonts w:ascii="Times New Roman" w:hAnsi="Times New Roman" w:cs="Times New Roman"/>
          <w:lang w:eastAsia="cs-CZ" w:bidi="cs-CZ"/>
        </w:rPr>
        <w:t>, neboť stále nebyl splněn cíl, aby investice EU do výzkumu a vývoje činily 3 % HDP. Členské státy by se měly zavázat k navýšení svého veřejného úsilí v oblasti výzkumu a vývoje z 0,81 % na 1,25 % HDP, což odpovídá splnění cíle 3 %. Doporučení pro členské státy týkající se investic a reforem zaměřených na výzkum a inovace jsou tradičně součástí doporučení pro jednotlivé země v rámci evropského semestru a rovněž součástí posouzení integrovaných vnitrostátních plánů v oblasti energetiky a klimatu. Komise navrhuje, aby členské státy vyčlenily</w:t>
      </w:r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5 % vnitrostátního veřejného financování výzkumu a vývoje na společné programy a evropská partnerství </w:t>
      </w:r>
      <w:r w:rsidRPr="001A3E76">
        <w:rPr>
          <w:rFonts w:ascii="Times New Roman" w:hAnsi="Times New Roman" w:cs="Times New Roman"/>
          <w:lang w:eastAsia="cs-CZ" w:bidi="cs-CZ"/>
        </w:rPr>
        <w:t>do roku 2030.</w:t>
      </w:r>
    </w:p>
    <w:p w:rsidR="001A3E76" w:rsidRPr="001A3E76" w:rsidRDefault="001A3E76" w:rsidP="001A3E76">
      <w:pPr>
        <w:pStyle w:val="Zkladntext1"/>
        <w:shd w:val="clear" w:color="auto" w:fill="auto"/>
        <w:spacing w:after="10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i/>
          <w:iCs/>
          <w:lang w:eastAsia="cs-CZ" w:bidi="cs-CZ"/>
        </w:rPr>
        <w:t>Klíčová opatření: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64" w:lineRule="auto"/>
        <w:ind w:left="1080" w:hanging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Znovu potvrdit cílové hodnoty investic do výzkumu a inovací v EU ve výši 3 % HDP a navrhnout nový cíl veřejného úsilí EU ve výši 1,25 % HDP, jehož mají členské státy dosáhnout do roku 2030.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72"/>
        </w:tabs>
        <w:spacing w:after="100" w:line="259" w:lineRule="auto"/>
        <w:ind w:left="1080" w:hanging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Spustit Fórum EVP pro transformaci s cílem podpořit členské státy při koordinaci a stanovování priorit vnitrostátního financování a reforem v oblasti výzkumu a inovací.</w:t>
      </w:r>
    </w:p>
    <w:p w:rsidR="001A3E76" w:rsidRPr="001A3E76" w:rsidRDefault="001A3E76" w:rsidP="001A3E76">
      <w:pPr>
        <w:pStyle w:val="Nadpis40"/>
        <w:keepNext/>
        <w:keepLines/>
        <w:shd w:val="clear" w:color="auto" w:fill="auto"/>
        <w:spacing w:after="120" w:line="257" w:lineRule="auto"/>
        <w:ind w:left="360"/>
        <w:jc w:val="both"/>
        <w:rPr>
          <w:rFonts w:ascii="Times New Roman" w:hAnsi="Times New Roman" w:cs="Times New Roman"/>
        </w:rPr>
      </w:pPr>
      <w:bookmarkStart w:id="11" w:name="bookmark13"/>
      <w:r w:rsidRPr="001A3E76">
        <w:rPr>
          <w:rFonts w:ascii="Times New Roman" w:hAnsi="Times New Roman" w:cs="Times New Roman"/>
          <w:u w:val="single"/>
          <w:lang w:eastAsia="cs-CZ" w:bidi="cs-CZ"/>
        </w:rPr>
        <w:t>Cíl 2 - Zlepšení přístupu k excelenci</w:t>
      </w:r>
      <w:bookmarkEnd w:id="11"/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Opatření v této oblasti jsou zaměřena na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urychlení šíření osvědčených postupů napříč EU</w:t>
      </w:r>
      <w:r w:rsidRPr="001A3E76">
        <w:rPr>
          <w:rFonts w:ascii="Times New Roman" w:hAnsi="Times New Roman" w:cs="Times New Roman"/>
          <w:lang w:eastAsia="cs-CZ" w:bidi="cs-CZ"/>
        </w:rPr>
        <w:t>. Investice členských států do výzkumu a inovací se pohybují v rozmezí od 0,5 % do 3,3 % HDP a koncentrují se na severu a západě EU. Méně výkonné členské státy se i přes určité zlepšení stále pohybují výrazně pod průměrem EU</w:t>
      </w:r>
      <w:r w:rsidRPr="001A3E76">
        <w:rPr>
          <w:rFonts w:ascii="Times New Roman" w:hAnsi="Times New Roman" w:cs="Times New Roman"/>
          <w:vertAlign w:val="superscript"/>
          <w:lang w:eastAsia="cs-CZ" w:bidi="cs-CZ"/>
        </w:rPr>
        <w:footnoteReference w:id="2"/>
      </w:r>
      <w:r w:rsidRPr="001A3E76">
        <w:rPr>
          <w:rFonts w:ascii="Times New Roman" w:hAnsi="Times New Roman" w:cs="Times New Roman"/>
          <w:lang w:eastAsia="cs-CZ" w:bidi="cs-CZ"/>
        </w:rPr>
        <w:t xml:space="preserve">. Mezi opatření na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podporu rozvoje kapacit členských států </w:t>
      </w:r>
      <w:r w:rsidRPr="001A3E76">
        <w:rPr>
          <w:rFonts w:ascii="Times New Roman" w:hAnsi="Times New Roman" w:cs="Times New Roman"/>
          <w:lang w:eastAsia="cs-CZ" w:bidi="cs-CZ"/>
        </w:rPr>
        <w:t>v oblasti výzkumu a inovací patří</w:t>
      </w:r>
      <w:hyperlink r:id="rId29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</w:t>
        </w:r>
        <w:r w:rsidRPr="001A3E76">
          <w:rPr>
            <w:rFonts w:ascii="Times New Roman" w:hAnsi="Times New Roman" w:cs="Times New Roman"/>
            <w:i/>
            <w:iCs/>
            <w:lang w:eastAsia="cs-CZ" w:bidi="cs-CZ"/>
          </w:rPr>
          <w:t>nástroj na podporu politik v rámci programu Horizont 2020</w:t>
        </w:r>
        <w:r w:rsidRPr="001A3E76">
          <w:rPr>
            <w:rFonts w:ascii="Times New Roman" w:hAnsi="Times New Roman" w:cs="Times New Roman"/>
            <w:lang w:eastAsia="cs-CZ" w:bidi="cs-CZ"/>
          </w:rPr>
          <w:t>,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budoucí </w:t>
      </w:r>
      <w:hyperlink r:id="rId30" w:history="1">
        <w:r w:rsidRPr="001A3E76">
          <w:rPr>
            <w:rFonts w:ascii="Times New Roman" w:hAnsi="Times New Roman" w:cs="Times New Roman"/>
            <w:i/>
            <w:iCs/>
            <w:lang w:eastAsia="cs-CZ" w:bidi="cs-CZ"/>
          </w:rPr>
          <w:t>nástroj pro technickou podporu</w:t>
        </w:r>
        <w:r w:rsidRPr="001A3E76">
          <w:rPr>
            <w:rFonts w:ascii="Times New Roman" w:hAnsi="Times New Roman" w:cs="Times New Roman"/>
            <w:lang w:eastAsia="cs-CZ" w:bidi="cs-CZ"/>
          </w:rPr>
          <w:t xml:space="preserve"> 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nebo balíček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Rozšiřování účasti a posilování EVP</w:t>
      </w:r>
      <w:r w:rsidRPr="001A3E76">
        <w:rPr>
          <w:rFonts w:ascii="Times New Roman" w:hAnsi="Times New Roman" w:cs="Times New Roman"/>
          <w:lang w:eastAsia="cs-CZ" w:bidi="cs-CZ"/>
        </w:rPr>
        <w:t xml:space="preserve"> v rámci programu Horizont Evropa. K dalším nástrojům podpory členských států ze strany Komise patří například </w:t>
      </w:r>
      <w:hyperlink r:id="rId31" w:history="1">
        <w:r w:rsidRPr="001A3E76">
          <w:rPr>
            <w:rFonts w:ascii="Times New Roman" w:hAnsi="Times New Roman" w:cs="Times New Roman"/>
            <w:i/>
            <w:iCs/>
            <w:lang w:eastAsia="cs-CZ" w:bidi="cs-CZ"/>
          </w:rPr>
          <w:t>platforma pro výměnu poznatků</w:t>
        </w:r>
        <w:r w:rsidRPr="001A3E76">
          <w:rPr>
            <w:rFonts w:ascii="Times New Roman" w:hAnsi="Times New Roman" w:cs="Times New Roman"/>
            <w:lang w:eastAsia="cs-CZ" w:bidi="cs-CZ"/>
          </w:rPr>
          <w:t xml:space="preserve"> 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(společně s Výborem regionů) a iniciativa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Věda se setkává s regiony</w:t>
      </w:r>
      <w:r w:rsidRPr="001A3E76">
        <w:rPr>
          <w:rFonts w:ascii="Times New Roman" w:hAnsi="Times New Roman" w:cs="Times New Roman"/>
          <w:lang w:eastAsia="cs-CZ" w:bidi="cs-CZ"/>
        </w:rPr>
        <w:t>; oba tyto nástroje by měly být posunuty z regionální na strategickou úroveň a podpořit dialog pro stanovování priorit, součinnost mezi nástroji výzkumu a inovací a vzděláváním a odbornou přípravou a uvolnění odpovídajících finančních prostředků z nástrojů politiky soudržnosti.</w:t>
      </w:r>
    </w:p>
    <w:p w:rsidR="001A3E76" w:rsidRPr="001A3E76" w:rsidRDefault="001A3E76" w:rsidP="001A3E76">
      <w:pPr>
        <w:pStyle w:val="Zkladntext1"/>
        <w:shd w:val="clear" w:color="auto" w:fill="auto"/>
        <w:spacing w:line="259" w:lineRule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Druhým aspektem zlepšování přístupu k excelenci je podpora talentů, resp.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přilákání a udržení talentovaných výzkumných pracovníků </w:t>
      </w:r>
      <w:r w:rsidRPr="001A3E76">
        <w:rPr>
          <w:rFonts w:ascii="Times New Roman" w:hAnsi="Times New Roman" w:cs="Times New Roman"/>
          <w:lang w:eastAsia="cs-CZ" w:bidi="cs-CZ"/>
        </w:rPr>
        <w:t xml:space="preserve">v EU. V této oblasti bude zahájena </w:t>
      </w:r>
      <w:r w:rsidRPr="001A3E76">
        <w:rPr>
          <w:rFonts w:ascii="Times New Roman" w:hAnsi="Times New Roman" w:cs="Times New Roman"/>
          <w:b/>
          <w:bCs/>
          <w:i/>
          <w:iCs/>
          <w:lang w:eastAsia="cs-CZ" w:bidi="cs-CZ"/>
        </w:rPr>
        <w:t>iniciativa ERA4You</w:t>
      </w:r>
      <w:r w:rsidRPr="001A3E76">
        <w:rPr>
          <w:rFonts w:ascii="Times New Roman" w:hAnsi="Times New Roman" w:cs="Times New Roman"/>
          <w:lang w:eastAsia="cs-CZ" w:bidi="cs-CZ"/>
        </w:rPr>
        <w:t xml:space="preserve">, která bude zahrnovat cílená opatření v oblasti mobility na podporu výzkumných pracovníků v členských státech s nízkou výkonností v oblasti výzkumu a inovací, včetně specializovaných schémat mobility mezi průmyslem a akademickou obcí. Tuto iniciativu doplní opatření navržená v rámci </w:t>
      </w:r>
      <w:r w:rsidRPr="001A3E76">
        <w:rPr>
          <w:rFonts w:ascii="Times New Roman" w:hAnsi="Times New Roman" w:cs="Times New Roman"/>
          <w:b/>
          <w:bCs/>
          <w:i/>
          <w:iCs/>
          <w:lang w:eastAsia="cs-CZ" w:bidi="cs-CZ"/>
        </w:rPr>
        <w:t>evropského rámce pro profesní dráhu výzkumných pracovníků</w:t>
      </w:r>
      <w:r w:rsidRPr="001A3E76">
        <w:rPr>
          <w:rFonts w:ascii="Times New Roman" w:hAnsi="Times New Roman" w:cs="Times New Roman"/>
          <w:lang w:eastAsia="cs-CZ" w:bidi="cs-CZ"/>
        </w:rPr>
        <w:t xml:space="preserve"> (viz dále).</w:t>
      </w:r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i/>
          <w:iCs/>
          <w:lang w:eastAsia="cs-CZ" w:bidi="cs-CZ"/>
        </w:rPr>
        <w:t>Klíčová opatření: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264" w:lineRule="auto"/>
        <w:ind w:left="1080" w:hanging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Podpořit členské státy, jež zaostávají za průměrnými investicemi EU do výzkumu a inovací ve vztahu k HDP, aby během následujících pěti let zvýšily svůj celkový objem investic do výzkumu a inovací o 50 %.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82"/>
        </w:tabs>
        <w:spacing w:after="300" w:line="264" w:lineRule="auto"/>
        <w:ind w:left="1080" w:hanging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Vytvořit specializovanou oblast činnosti v rámci Fóra EVP pro transformaci za účelem přístupu k excelenci a podpořit členské státy s nižší výkonností v oblasti výzkumu a inovací při navyšování počtu často citovaných publikací o třetinu během pěti let.</w:t>
      </w:r>
    </w:p>
    <w:p w:rsidR="001A3E76" w:rsidRPr="001A3E76" w:rsidRDefault="001A3E76" w:rsidP="001A3E76">
      <w:pPr>
        <w:pStyle w:val="Nadpis40"/>
        <w:keepNext/>
        <w:keepLines/>
        <w:shd w:val="clear" w:color="auto" w:fill="auto"/>
        <w:spacing w:after="120" w:line="257" w:lineRule="auto"/>
        <w:ind w:left="360"/>
        <w:jc w:val="both"/>
        <w:rPr>
          <w:rFonts w:ascii="Times New Roman" w:hAnsi="Times New Roman" w:cs="Times New Roman"/>
        </w:rPr>
      </w:pPr>
      <w:bookmarkStart w:id="12" w:name="bookmark14"/>
      <w:r w:rsidRPr="001A3E76">
        <w:rPr>
          <w:rFonts w:ascii="Times New Roman" w:hAnsi="Times New Roman" w:cs="Times New Roman"/>
          <w:lang w:eastAsia="cs-CZ" w:bidi="cs-CZ"/>
        </w:rPr>
        <w:t>Cíl 3 - Přenášení výsledků výzkumu a inovací do hospodářství</w:t>
      </w:r>
      <w:bookmarkEnd w:id="12"/>
    </w:p>
    <w:p w:rsidR="001A3E76" w:rsidRPr="001A3E76" w:rsidRDefault="001A3E76" w:rsidP="001A3E76">
      <w:pPr>
        <w:pStyle w:val="Zkladntext1"/>
        <w:shd w:val="clear" w:color="auto" w:fill="auto"/>
        <w:spacing w:after="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Opatření v této oblasti jsou zaměřena na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zlepšení prostředí pro investice podniků do výzkumu a inovací, zavádění nových technologií a vylepšení přijímání a viditelnosti výsledků výzkumu</w:t>
      </w:r>
    </w:p>
    <w:p w:rsidR="001A3E76" w:rsidRPr="001A3E76" w:rsidRDefault="001A3E76" w:rsidP="001A3E76">
      <w:pPr>
        <w:pStyle w:val="Zkladntext1"/>
        <w:shd w:val="clear" w:color="auto" w:fill="auto"/>
        <w:spacing w:after="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v hospodářství a ve společnosti. V oblasti intenzity úsilí podniků ohledně výzkumu a inovací EU zaostává za svými hlavními celosvětovými konkurenty, zejména v odvětvích špičkových technologií a v rozšiřování inovativních malých a středních podniků.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Investice do výzkumu a inovací </w:t>
      </w:r>
      <w:r w:rsidRPr="001A3E76">
        <w:rPr>
          <w:rFonts w:ascii="Times New Roman" w:hAnsi="Times New Roman" w:cs="Times New Roman"/>
          <w:lang w:eastAsia="cs-CZ" w:bidi="cs-CZ"/>
        </w:rPr>
        <w:t>by měla</w:t>
      </w:r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podporovat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partnerství programu Horizont Evropa mezi EU a soukromým sektorem i členskými státy</w:t>
      </w:r>
      <w:r w:rsidRPr="001A3E76">
        <w:rPr>
          <w:rFonts w:ascii="Times New Roman" w:hAnsi="Times New Roman" w:cs="Times New Roman"/>
          <w:lang w:eastAsia="cs-CZ" w:bidi="cs-CZ"/>
        </w:rPr>
        <w:t xml:space="preserve">, v jejichž rámci budou dohodnuty </w:t>
      </w:r>
      <w:r w:rsidRPr="001A3E76">
        <w:rPr>
          <w:rFonts w:ascii="Times New Roman" w:hAnsi="Times New Roman" w:cs="Times New Roman"/>
          <w:b/>
          <w:bCs/>
          <w:i/>
          <w:iCs/>
          <w:lang w:eastAsia="cs-CZ" w:bidi="cs-CZ"/>
        </w:rPr>
        <w:t>společné technologické plány s průmyslem</w:t>
      </w:r>
      <w:r w:rsidRPr="001A3E76">
        <w:rPr>
          <w:rFonts w:ascii="Times New Roman" w:hAnsi="Times New Roman" w:cs="Times New Roman"/>
          <w:lang w:eastAsia="cs-CZ" w:bidi="cs-CZ"/>
        </w:rPr>
        <w:t>. Klíčovými partnery při vytváření těchto plánů budou evropské univerzity a výzkumné a technologické organizace a technologické infrastruktury EU.</w:t>
      </w:r>
    </w:p>
    <w:p w:rsidR="001A3E76" w:rsidRPr="001A3E76" w:rsidRDefault="001A3E76" w:rsidP="001A3E76">
      <w:pPr>
        <w:pStyle w:val="Zkladntext1"/>
        <w:shd w:val="clear" w:color="auto" w:fill="auto"/>
        <w:spacing w:after="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Přístup k dluhovému a kapitálovému financování </w:t>
      </w:r>
      <w:r w:rsidRPr="001A3E76">
        <w:rPr>
          <w:rFonts w:ascii="Times New Roman" w:hAnsi="Times New Roman" w:cs="Times New Roman"/>
          <w:lang w:eastAsia="cs-CZ" w:bidi="cs-CZ"/>
        </w:rPr>
        <w:t xml:space="preserve">pro malé a střední podniky, startupy a malé společnosti orientované na výzkum a inovace podpoří také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Evropská rada pro inovace</w:t>
      </w:r>
      <w:r w:rsidRPr="001A3E76">
        <w:rPr>
          <w:rFonts w:ascii="Times New Roman" w:hAnsi="Times New Roman" w:cs="Times New Roman"/>
          <w:lang w:eastAsia="cs-CZ" w:bidi="cs-CZ"/>
        </w:rPr>
        <w:t>, mezi jejíž další úkoly patří podpora podnikavosti nebo urychlení komerčního využití nových technologií.</w:t>
      </w:r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Přenos výsledků výzkumu do reálné ekonomiky podporují i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Evropský inovační a technologický institut</w:t>
      </w:r>
      <w:r w:rsidRPr="001A3E76">
        <w:rPr>
          <w:rFonts w:ascii="Times New Roman" w:hAnsi="Times New Roman" w:cs="Times New Roman"/>
          <w:lang w:eastAsia="cs-CZ" w:bidi="cs-CZ"/>
        </w:rPr>
        <w:t xml:space="preserve">,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průmyslové aliance</w:t>
      </w:r>
      <w:r w:rsidRPr="001A3E76">
        <w:rPr>
          <w:rFonts w:ascii="Times New Roman" w:hAnsi="Times New Roman" w:cs="Times New Roman"/>
          <w:lang w:eastAsia="cs-CZ" w:bidi="cs-CZ"/>
        </w:rPr>
        <w:t xml:space="preserve"> nebo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projekty společného evropského zájmu</w:t>
      </w:r>
      <w:r w:rsidRPr="001A3E76">
        <w:rPr>
          <w:rFonts w:ascii="Times New Roman" w:hAnsi="Times New Roman" w:cs="Times New Roman"/>
          <w:lang w:eastAsia="cs-CZ" w:bidi="cs-CZ"/>
        </w:rPr>
        <w:t>.</w:t>
      </w:r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Na podporu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oběhu znalostí a jejich zhodnocování </w:t>
      </w:r>
      <w:r w:rsidRPr="001A3E76">
        <w:rPr>
          <w:rFonts w:ascii="Times New Roman" w:hAnsi="Times New Roman" w:cs="Times New Roman"/>
          <w:lang w:eastAsia="cs-CZ" w:bidi="cs-CZ"/>
        </w:rPr>
        <w:t xml:space="preserve">by měla být vytvořena </w:t>
      </w:r>
      <w:r w:rsidRPr="001A3E76">
        <w:rPr>
          <w:rFonts w:ascii="Times New Roman" w:hAnsi="Times New Roman" w:cs="Times New Roman"/>
          <w:b/>
          <w:bCs/>
          <w:i/>
          <w:iCs/>
          <w:lang w:eastAsia="cs-CZ" w:bidi="cs-CZ"/>
        </w:rPr>
        <w:t xml:space="preserve">iniciativa ERAHubs </w:t>
      </w:r>
      <w:r w:rsidRPr="001A3E76">
        <w:rPr>
          <w:rFonts w:ascii="Times New Roman" w:hAnsi="Times New Roman" w:cs="Times New Roman"/>
          <w:lang w:eastAsia="cs-CZ" w:bidi="cs-CZ"/>
        </w:rPr>
        <w:t>postavená na existujících kapacitách, jako jsou centra a klastry pro digitální inovace, a propojená</w:t>
      </w:r>
    </w:p>
    <w:p w:rsidR="001A3E76" w:rsidRPr="001A3E76" w:rsidRDefault="001A3E76" w:rsidP="001A3E76">
      <w:pPr>
        <w:pStyle w:val="Zkladntext1"/>
        <w:shd w:val="clear" w:color="auto" w:fill="auto"/>
        <w:ind w:left="340" w:firstLine="2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se sítí</w:t>
      </w:r>
      <w:hyperlink r:id="rId32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Enterprise Europe Network </w:t>
        </w:r>
      </w:hyperlink>
      <w:r w:rsidRPr="001A3E76">
        <w:rPr>
          <w:rFonts w:ascii="Times New Roman" w:hAnsi="Times New Roman" w:cs="Times New Roman"/>
          <w:lang w:eastAsia="cs-CZ" w:bidi="cs-CZ"/>
        </w:rPr>
        <w:t>a iniciativou</w:t>
      </w:r>
      <w:hyperlink r:id="rId33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StartUp Europe </w:t>
        </w:r>
      </w:hyperlink>
      <w:r w:rsidRPr="001A3E76">
        <w:rPr>
          <w:rFonts w:ascii="Times New Roman" w:hAnsi="Times New Roman" w:cs="Times New Roman"/>
          <w:lang w:eastAsia="cs-CZ" w:bidi="cs-CZ"/>
        </w:rPr>
        <w:t>za účelem podpory spolupráce a výměny osvědčených postupů.</w:t>
      </w:r>
    </w:p>
    <w:p w:rsidR="001A3E76" w:rsidRPr="001A3E76" w:rsidRDefault="001A3E76" w:rsidP="001A3E76">
      <w:pPr>
        <w:pStyle w:val="Zkladntext1"/>
        <w:shd w:val="clear" w:color="auto" w:fill="auto"/>
        <w:ind w:left="340" w:firstLine="2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Dalším úkolem je podle Komise zajistit podnikům v EU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přístup k účinné a cenově dostupné ochraně duševního vlastnictví</w:t>
      </w:r>
      <w:r w:rsidRPr="001A3E76">
        <w:rPr>
          <w:rFonts w:ascii="Times New Roman" w:hAnsi="Times New Roman" w:cs="Times New Roman"/>
          <w:lang w:eastAsia="cs-CZ" w:bidi="cs-CZ"/>
        </w:rPr>
        <w:t xml:space="preserve">. Za tím účelem by mělo být aktualizováno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doporučení o řízení duševního vlastnictví při činnostech předávání znalostí</w:t>
      </w:r>
      <w:r w:rsidRPr="001A3E76">
        <w:rPr>
          <w:rFonts w:ascii="Times New Roman" w:hAnsi="Times New Roman" w:cs="Times New Roman"/>
          <w:lang w:eastAsia="cs-CZ" w:bidi="cs-CZ"/>
        </w:rPr>
        <w:t xml:space="preserve"> a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kodex správné praxe pro univerzity a jiné veřejné výzkumné organizace</w:t>
      </w:r>
      <w:r w:rsidRPr="001A3E76">
        <w:rPr>
          <w:rFonts w:ascii="Times New Roman" w:hAnsi="Times New Roman" w:cs="Times New Roman"/>
          <w:lang w:eastAsia="cs-CZ" w:bidi="cs-CZ"/>
        </w:rPr>
        <w:t xml:space="preserve"> z roku 2008. Komise plánuje rovněž přijetí </w:t>
      </w:r>
      <w:r w:rsidRPr="001A3E76">
        <w:rPr>
          <w:rFonts w:ascii="Times New Roman" w:hAnsi="Times New Roman" w:cs="Times New Roman"/>
          <w:b/>
          <w:bCs/>
          <w:i/>
          <w:iCs/>
          <w:lang w:eastAsia="cs-CZ" w:bidi="cs-CZ"/>
        </w:rPr>
        <w:t>akčního plán pro duševní vlastnictví</w:t>
      </w:r>
      <w:r w:rsidRPr="001A3E76">
        <w:rPr>
          <w:rFonts w:ascii="Times New Roman" w:hAnsi="Times New Roman" w:cs="Times New Roman"/>
          <w:lang w:eastAsia="cs-CZ" w:bidi="cs-CZ"/>
        </w:rPr>
        <w:t xml:space="preserve"> v rámci nové průmyslové strategie pro Evropu a spuštění </w:t>
      </w:r>
      <w:r w:rsidRPr="001A3E76">
        <w:rPr>
          <w:rFonts w:ascii="Times New Roman" w:hAnsi="Times New Roman" w:cs="Times New Roman"/>
          <w:b/>
          <w:bCs/>
          <w:i/>
          <w:iCs/>
          <w:lang w:eastAsia="cs-CZ" w:bidi="cs-CZ"/>
        </w:rPr>
        <w:t>jednotného patentu</w:t>
      </w:r>
      <w:r w:rsidRPr="001A3E76">
        <w:rPr>
          <w:rFonts w:ascii="Times New Roman" w:hAnsi="Times New Roman" w:cs="Times New Roman"/>
          <w:lang w:eastAsia="cs-CZ" w:bidi="cs-CZ"/>
        </w:rPr>
        <w:t>.</w:t>
      </w:r>
    </w:p>
    <w:p w:rsidR="001A3E76" w:rsidRPr="001A3E76" w:rsidRDefault="001A3E76" w:rsidP="001A3E76">
      <w:pPr>
        <w:pStyle w:val="Zkladntext1"/>
        <w:shd w:val="clear" w:color="auto" w:fill="auto"/>
        <w:spacing w:after="100"/>
        <w:ind w:left="340" w:firstLine="2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i/>
          <w:iCs/>
          <w:lang w:eastAsia="cs-CZ" w:bidi="cs-CZ"/>
        </w:rPr>
        <w:t>Klíčová opatření: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40" w:lineRule="auto"/>
        <w:ind w:left="1080" w:hanging="360"/>
        <w:jc w:val="left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Vypracovat společné plány pro průmyslové technologie.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62" w:lineRule="auto"/>
        <w:ind w:left="1080" w:hanging="360"/>
        <w:jc w:val="left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Vytvořit a otestovat rámec pro vytváření sítí na podporu evropských ekosystémů v oblasti výzkumu a inovací.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72"/>
        </w:tabs>
        <w:spacing w:after="300" w:line="262" w:lineRule="auto"/>
        <w:ind w:left="1080" w:hanging="360"/>
        <w:jc w:val="left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Aktualizovat a stanovit hlavní zásady zhodnocování znalostí a kodex správné praxe pro inteligentní využití duševního vlastnictví.</w:t>
      </w:r>
    </w:p>
    <w:p w:rsidR="001A3E76" w:rsidRPr="001A3E76" w:rsidRDefault="001A3E76" w:rsidP="001A3E76">
      <w:pPr>
        <w:pStyle w:val="Nadpis40"/>
        <w:keepNext/>
        <w:keepLines/>
        <w:shd w:val="clear" w:color="auto" w:fill="auto"/>
        <w:spacing w:after="120" w:line="257" w:lineRule="auto"/>
        <w:ind w:left="340" w:firstLine="20"/>
        <w:jc w:val="both"/>
        <w:rPr>
          <w:rFonts w:ascii="Times New Roman" w:hAnsi="Times New Roman" w:cs="Times New Roman"/>
        </w:rPr>
      </w:pPr>
      <w:bookmarkStart w:id="13" w:name="bookmark15"/>
      <w:r w:rsidRPr="001A3E76">
        <w:rPr>
          <w:rFonts w:ascii="Times New Roman" w:hAnsi="Times New Roman" w:cs="Times New Roman"/>
          <w:u w:val="single"/>
          <w:lang w:eastAsia="cs-CZ" w:bidi="cs-CZ"/>
        </w:rPr>
        <w:t>Cíl 4 - Prohlubování EVP</w:t>
      </w:r>
      <w:bookmarkEnd w:id="13"/>
    </w:p>
    <w:p w:rsidR="001A3E76" w:rsidRPr="001A3E76" w:rsidRDefault="001A3E76" w:rsidP="001A3E76">
      <w:pPr>
        <w:pStyle w:val="Zkladntext1"/>
        <w:shd w:val="clear" w:color="auto" w:fill="auto"/>
        <w:ind w:left="340" w:firstLine="2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Opatření v této oblasti jsou zaměřena na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prohlubování EVP v rámci stávajících priorit</w:t>
      </w:r>
      <w:r w:rsidRPr="001A3E76">
        <w:rPr>
          <w:rFonts w:ascii="Times New Roman" w:hAnsi="Times New Roman" w:cs="Times New Roman"/>
          <w:lang w:eastAsia="cs-CZ" w:bidi="cs-CZ"/>
        </w:rPr>
        <w:t>. To zahrnuje podporu volného oběhu znalostí, hlubší integraci mezi vnitrostátními politikami, podporu adekvátních rámcových podmínek, inkluzivitu, rozvoj dovedností výzkumných pracovníků a propojování všech aktérů výzkumu a inovací napříč EU.</w:t>
      </w:r>
    </w:p>
    <w:p w:rsidR="001A3E76" w:rsidRPr="001A3E76" w:rsidRDefault="001A3E76" w:rsidP="001A3E76">
      <w:pPr>
        <w:pStyle w:val="Zkladntext1"/>
        <w:shd w:val="clear" w:color="auto" w:fill="auto"/>
        <w:spacing w:line="259" w:lineRule="auto"/>
        <w:ind w:left="340" w:firstLine="2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Měl by být vytvořen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evropský rámec pro kariéru ve výzkumu</w:t>
      </w:r>
      <w:r w:rsidRPr="001A3E76">
        <w:rPr>
          <w:rFonts w:ascii="Times New Roman" w:hAnsi="Times New Roman" w:cs="Times New Roman"/>
          <w:lang w:eastAsia="cs-CZ" w:bidi="cs-CZ"/>
        </w:rPr>
        <w:t xml:space="preserve">, která naváže na stávající nástroje EVP, jako je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Charta a kodex pro výzkumné pracovníky</w:t>
      </w:r>
      <w:r w:rsidRPr="001A3E76">
        <w:rPr>
          <w:rFonts w:ascii="Times New Roman" w:hAnsi="Times New Roman" w:cs="Times New Roman"/>
          <w:lang w:eastAsia="cs-CZ" w:bidi="cs-CZ"/>
        </w:rPr>
        <w:t xml:space="preserve">, a činnosti podporující mobilitu, jako jsou akce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„Marie Curie-Sktodowska".</w:t>
      </w:r>
      <w:r w:rsidRPr="001A3E76">
        <w:rPr>
          <w:rFonts w:ascii="Times New Roman" w:hAnsi="Times New Roman" w:cs="Times New Roman"/>
          <w:lang w:eastAsia="cs-CZ" w:bidi="cs-CZ"/>
        </w:rPr>
        <w:t xml:space="preserve"> Cílem Komise je podpořit mobilitu mezi akademickou obcí a průmyslem a poskytnout výzkumný pracovníkům cílenou odbornou přípravu, a zvýšit tak jejich zaměstnatelnost. Novými nástroji v této oblasti budou </w:t>
      </w:r>
      <w:r w:rsidRPr="001A3E76">
        <w:rPr>
          <w:rFonts w:ascii="Times New Roman" w:hAnsi="Times New Roman" w:cs="Times New Roman"/>
          <w:b/>
          <w:bCs/>
          <w:i/>
          <w:iCs/>
          <w:lang w:eastAsia="cs-CZ" w:bidi="cs-CZ"/>
        </w:rPr>
        <w:t>evropský rámec kompetencí pro kariéru ve výzkumu</w:t>
      </w:r>
      <w:r w:rsidRPr="001A3E76">
        <w:rPr>
          <w:rFonts w:ascii="Times New Roman" w:hAnsi="Times New Roman" w:cs="Times New Roman"/>
          <w:lang w:eastAsia="cs-CZ" w:bidi="cs-CZ"/>
        </w:rPr>
        <w:t xml:space="preserve">, </w:t>
      </w:r>
      <w:r w:rsidRPr="001A3E76">
        <w:rPr>
          <w:rFonts w:ascii="Times New Roman" w:hAnsi="Times New Roman" w:cs="Times New Roman"/>
          <w:b/>
          <w:bCs/>
          <w:i/>
          <w:iCs/>
          <w:lang w:eastAsia="cs-CZ" w:bidi="cs-CZ"/>
        </w:rPr>
        <w:t>iniciativa ERA4You</w:t>
      </w:r>
      <w:r w:rsidRPr="001A3E76">
        <w:rPr>
          <w:rFonts w:ascii="Times New Roman" w:hAnsi="Times New Roman" w:cs="Times New Roman"/>
          <w:lang w:eastAsia="cs-CZ" w:bidi="cs-CZ"/>
        </w:rPr>
        <w:t xml:space="preserve">, zaměřená na posílení meziodvětvové mobility, spolupráci mezi akademickou obcí a podniky a zapojení soukromého sektoru do odborné přípravy a rozvoje dovedností výzkumných pracovníků, a </w:t>
      </w:r>
      <w:r w:rsidRPr="001A3E76">
        <w:rPr>
          <w:rFonts w:ascii="Times New Roman" w:hAnsi="Times New Roman" w:cs="Times New Roman"/>
          <w:b/>
          <w:bCs/>
          <w:i/>
          <w:iCs/>
          <w:lang w:eastAsia="cs-CZ" w:bidi="cs-CZ"/>
        </w:rPr>
        <w:t>jednotný online portál ERA Talent Platform</w:t>
      </w:r>
      <w:r w:rsidRPr="001A3E76">
        <w:rPr>
          <w:rFonts w:ascii="Times New Roman" w:hAnsi="Times New Roman" w:cs="Times New Roman"/>
          <w:lang w:eastAsia="cs-CZ" w:bidi="cs-CZ"/>
        </w:rPr>
        <w:t xml:space="preserve"> založený na službách, sítích a portálech EURAXESS. Přeshraniční i meziodvětvovou mobilitu výzkumných pracovníků podporuje také</w:t>
      </w:r>
      <w:hyperlink r:id="rId34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</w:t>
        </w:r>
        <w:r w:rsidRPr="001A3E76">
          <w:rPr>
            <w:rFonts w:ascii="Times New Roman" w:hAnsi="Times New Roman" w:cs="Times New Roman"/>
            <w:i/>
            <w:iCs/>
            <w:lang w:eastAsia="cs-CZ" w:bidi="cs-CZ"/>
          </w:rPr>
          <w:t>celoevropský penzijní fond pro výzkumné pracovníky (RESAVER)</w:t>
        </w:r>
        <w:r w:rsidRPr="001A3E76">
          <w:rPr>
            <w:rFonts w:ascii="Times New Roman" w:hAnsi="Times New Roman" w:cs="Times New Roman"/>
            <w:lang w:eastAsia="cs-CZ" w:bidi="cs-CZ"/>
          </w:rPr>
          <w:t>.</w:t>
        </w:r>
      </w:hyperlink>
    </w:p>
    <w:p w:rsidR="001A3E76" w:rsidRPr="001A3E76" w:rsidRDefault="001A3E76" w:rsidP="001A3E76">
      <w:pPr>
        <w:pStyle w:val="Zkladntext1"/>
        <w:shd w:val="clear" w:color="auto" w:fill="auto"/>
        <w:ind w:left="340" w:firstLine="2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Další dlouhodobou prioritou EVP je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otevřená věda</w:t>
      </w:r>
      <w:r w:rsidRPr="001A3E76">
        <w:rPr>
          <w:rFonts w:ascii="Times New Roman" w:hAnsi="Times New Roman" w:cs="Times New Roman"/>
          <w:lang w:eastAsia="cs-CZ" w:bidi="cs-CZ"/>
        </w:rPr>
        <w:t xml:space="preserve">. Již vytvořený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 xml:space="preserve">evropský cloud pro otevřenou vědu </w:t>
      </w:r>
      <w:r w:rsidRPr="001A3E76">
        <w:rPr>
          <w:rFonts w:ascii="Times New Roman" w:hAnsi="Times New Roman" w:cs="Times New Roman"/>
          <w:lang w:eastAsia="cs-CZ" w:bidi="cs-CZ"/>
        </w:rPr>
        <w:t xml:space="preserve">by měla doplnit </w:t>
      </w:r>
      <w:r w:rsidRPr="001A3E76">
        <w:rPr>
          <w:rFonts w:ascii="Times New Roman" w:hAnsi="Times New Roman" w:cs="Times New Roman"/>
          <w:b/>
          <w:bCs/>
          <w:i/>
          <w:iCs/>
          <w:lang w:eastAsia="cs-CZ" w:bidi="cs-CZ"/>
        </w:rPr>
        <w:t>publikační platforma Open Research Europe</w:t>
      </w:r>
      <w:r w:rsidRPr="001A3E76">
        <w:rPr>
          <w:rFonts w:ascii="Times New Roman" w:hAnsi="Times New Roman" w:cs="Times New Roman"/>
          <w:lang w:eastAsia="cs-CZ" w:bidi="cs-CZ"/>
        </w:rPr>
        <w:t>, která by měla být spuštěna prostřednictvím programu Horizont Evropa a měla by zajistit, že veškerý veřejně financovaný výzkum bude integrován do jediného evropského datového prostoru.</w:t>
      </w:r>
    </w:p>
    <w:p w:rsidR="001A3E76" w:rsidRPr="001A3E76" w:rsidRDefault="001A3E76" w:rsidP="001A3E76">
      <w:pPr>
        <w:pStyle w:val="Zkladntext1"/>
        <w:shd w:val="clear" w:color="auto" w:fill="auto"/>
        <w:ind w:left="340" w:firstLine="2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V oblasti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rozvoje výzkumných a technologických infrastruktur </w:t>
      </w:r>
      <w:r w:rsidRPr="001A3E76">
        <w:rPr>
          <w:rFonts w:ascii="Times New Roman" w:hAnsi="Times New Roman" w:cs="Times New Roman"/>
          <w:lang w:eastAsia="cs-CZ" w:bidi="cs-CZ"/>
        </w:rPr>
        <w:t>bude pokračovat spolupráce v rámci Evropského strategického fóra pro výzkumné infrastruktury (ESFRI). Nová vize v této oblasti byla nedávno představena v</w:t>
      </w:r>
      <w:hyperlink r:id="rId35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bílé knize ESFRI.</w:t>
        </w:r>
      </w:hyperlink>
    </w:p>
    <w:p w:rsidR="001A3E76" w:rsidRPr="001A3E76" w:rsidRDefault="001A3E76" w:rsidP="001A3E76">
      <w:pPr>
        <w:pStyle w:val="Zkladntext1"/>
        <w:shd w:val="clear" w:color="auto" w:fill="auto"/>
        <w:ind w:left="340" w:firstLine="2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Komise se chce dále zaměřit na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posílení součinnosti EVP a evropského prostoru vzdělávání</w:t>
      </w:r>
      <w:r w:rsidRPr="001A3E76">
        <w:rPr>
          <w:rFonts w:ascii="Times New Roman" w:hAnsi="Times New Roman" w:cs="Times New Roman"/>
          <w:lang w:eastAsia="cs-CZ" w:bidi="cs-CZ"/>
        </w:rPr>
        <w:t>. Cílem Komise je umožnit evropským univerzitám rozvíjet společné strategie v oblasti výzkumu a inovací, vytvářet kritické množství a usnadňovat sdílení kapacit. Nový EVP by měl posílit dimenzi výzkumu a inovací na univerzitách a rovněž přispět ke zvýšení atraktivity kariér ve výzkumu a k usnadnění spolupráce s aktéry z okolních ekosystémů v oblasti výzkumu a inovací. Na podporu nadnárodní spolupráce mezi univerzitami již byla zavedena</w:t>
      </w:r>
      <w:hyperlink r:id="rId36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</w:t>
        </w:r>
        <w:r w:rsidRPr="001A3E76">
          <w:rPr>
            <w:rFonts w:ascii="Times New Roman" w:hAnsi="Times New Roman" w:cs="Times New Roman"/>
            <w:i/>
            <w:iCs/>
            <w:lang w:eastAsia="cs-CZ" w:bidi="cs-CZ"/>
          </w:rPr>
          <w:t>iniciativa Evropské univerzity</w:t>
        </w:r>
        <w:r w:rsidRPr="001A3E76">
          <w:rPr>
            <w:rFonts w:ascii="Times New Roman" w:hAnsi="Times New Roman" w:cs="Times New Roman"/>
            <w:lang w:eastAsia="cs-CZ" w:bidi="cs-CZ"/>
          </w:rPr>
          <w:t>,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která podporuje mezinárodní oběh poznatků a talentů.</w:t>
      </w:r>
    </w:p>
    <w:p w:rsidR="001A3E76" w:rsidRPr="001A3E76" w:rsidRDefault="001A3E76" w:rsidP="001A3E76">
      <w:pPr>
        <w:pStyle w:val="Zkladntext1"/>
        <w:shd w:val="clear" w:color="auto" w:fill="auto"/>
        <w:ind w:left="340" w:firstLine="2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Poslední prioritou v rámci tohoto cíle je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rovnost žen a mužů ve výzkumu</w:t>
      </w:r>
      <w:r w:rsidRPr="001A3E76">
        <w:rPr>
          <w:rFonts w:ascii="Times New Roman" w:hAnsi="Times New Roman" w:cs="Times New Roman"/>
          <w:lang w:eastAsia="cs-CZ" w:bidi="cs-CZ"/>
        </w:rPr>
        <w:t>. Komise připomíná, že podle</w:t>
      </w:r>
      <w:hyperlink r:id="rId37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posledních dostupných údajů </w:t>
        </w:r>
      </w:hyperlink>
      <w:r w:rsidRPr="001A3E76">
        <w:rPr>
          <w:rFonts w:ascii="Times New Roman" w:hAnsi="Times New Roman" w:cs="Times New Roman"/>
          <w:lang w:eastAsia="cs-CZ" w:bidi="cs-CZ"/>
        </w:rPr>
        <w:t>přetrvávají v evropských systémech výzkumu a inovací stále nerovnosti. Ženy tvoří 48 % absolventů doktorandského studia, avšak pouze 33,4 % výzkumných pracovníků v EU, a zastávají pouze 24 % pozic řádných vysokoškolských profesorů a 22 % pozic řídících pracovníků evropských institucí vyššího vzdělávání. Extrémně nízký je rovněž počet žen mezi držiteli patentů. EVP by měl spolu s obnovenou agendou dovedností, sdělením o Evropském prostoru vzdělávání a novým akčním plánem digitálního vzdělávání posílit zaměření na účast žen v přírodních vědách, technologii, inženýrství a matematice (STEM) .</w:t>
      </w:r>
    </w:p>
    <w:p w:rsidR="001A3E76" w:rsidRPr="001A3E76" w:rsidRDefault="001A3E76" w:rsidP="001A3E76">
      <w:pPr>
        <w:pStyle w:val="Zkladntext1"/>
        <w:shd w:val="clear" w:color="auto" w:fill="auto"/>
        <w:spacing w:after="10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i/>
          <w:iCs/>
          <w:lang w:eastAsia="cs-CZ" w:bidi="cs-CZ"/>
        </w:rPr>
        <w:t>Klíčová opatření: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spacing w:after="0" w:line="240" w:lineRule="auto"/>
        <w:ind w:left="1080" w:hanging="34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Nová sada nástrojů na podporu profesního rozvoje výzkumných pracovníků.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spacing w:after="0" w:line="262" w:lineRule="auto"/>
        <w:ind w:left="1080" w:hanging="34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Spustit prostřednictvím programu Horizont Evropa platformu pro vydávání odborně recenzovaných publikací s otevřeným přístupem a provést analýzu autorských práv s cílem umožnit sdílení veřejně financovaných, odborně recenzovaných článků bez omezení.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spacing w:after="0" w:line="259" w:lineRule="auto"/>
        <w:ind w:left="1080" w:hanging="34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Uplatňovat bílou knihu ESFRI a vytvořit aktualizovanou strukturu správy a řízení vědeckých a technologických infrastruktur.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spacing w:after="0" w:line="259" w:lineRule="auto"/>
        <w:ind w:left="1080" w:hanging="34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Vypracovat plán činností pro vytvoření součinnosti mezi institucemi vysokoškolského vzdělávání a výzkumu, zejména na základě dvojí role univerzit.</w:t>
      </w:r>
    </w:p>
    <w:p w:rsidR="001A3E76" w:rsidRPr="001A3E76" w:rsidRDefault="001A3E76" w:rsidP="001A3E76">
      <w:pPr>
        <w:pStyle w:val="Zkladntext1"/>
        <w:numPr>
          <w:ilvl w:val="0"/>
          <w:numId w:val="1"/>
        </w:numPr>
        <w:shd w:val="clear" w:color="auto" w:fill="auto"/>
        <w:tabs>
          <w:tab w:val="left" w:pos="1092"/>
        </w:tabs>
        <w:spacing w:after="300" w:line="259" w:lineRule="auto"/>
        <w:ind w:left="1080" w:hanging="34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Ve spolupráci s členskými státy a zúčastněnými stranami vyvinout inkluzivní plány za účelem podpory rovnosti žen a mužů v oblasti výzkumu a inovací.</w:t>
      </w:r>
    </w:p>
    <w:p w:rsidR="001A3E76" w:rsidRPr="001A3E76" w:rsidRDefault="001A3E76" w:rsidP="001A3E76">
      <w:pPr>
        <w:pStyle w:val="Zkladntext1"/>
        <w:shd w:val="clear" w:color="auto" w:fill="auto"/>
        <w:spacing w:after="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Jádrem nového EVP by mělo být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>zapojení občanů, místních komunit a občanské společnosti</w:t>
      </w:r>
      <w:r w:rsidRPr="001A3E76">
        <w:rPr>
          <w:rFonts w:ascii="Times New Roman" w:hAnsi="Times New Roman" w:cs="Times New Roman"/>
          <w:lang w:eastAsia="cs-CZ" w:bidi="cs-CZ"/>
        </w:rPr>
        <w:t>.</w:t>
      </w:r>
    </w:p>
    <w:p w:rsidR="001A3E76" w:rsidRPr="001A3E76" w:rsidRDefault="001A3E76" w:rsidP="001A3E76">
      <w:pPr>
        <w:pStyle w:val="Zkladntext1"/>
        <w:shd w:val="clear" w:color="auto" w:fill="auto"/>
        <w:spacing w:after="28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 xml:space="preserve">Pandemie covidu-19 jasně ukázala současné nedostatky, pokud jde o důvěru veřejnosti ve vědu. Zapojení občanů by mělo vycházet z již existujících iniciativ a akcí, jako je například </w:t>
      </w:r>
      <w:r w:rsidRPr="001A3E76">
        <w:rPr>
          <w:rFonts w:ascii="Times New Roman" w:hAnsi="Times New Roman" w:cs="Times New Roman"/>
          <w:i/>
          <w:iCs/>
          <w:lang w:eastAsia="cs-CZ" w:bidi="cs-CZ"/>
        </w:rPr>
        <w:t>Evropská noc výzkumníků</w:t>
      </w:r>
      <w:r w:rsidRPr="001A3E76">
        <w:rPr>
          <w:rFonts w:ascii="Times New Roman" w:hAnsi="Times New Roman" w:cs="Times New Roman"/>
          <w:lang w:eastAsia="cs-CZ" w:bidi="cs-CZ"/>
        </w:rPr>
        <w:t xml:space="preserve">. Komunikace by se měla zaměřit na </w:t>
      </w:r>
      <w:r w:rsidRPr="001A3E76">
        <w:rPr>
          <w:rFonts w:ascii="Times New Roman" w:hAnsi="Times New Roman" w:cs="Times New Roman"/>
          <w:b/>
          <w:bCs/>
          <w:lang w:eastAsia="cs-CZ" w:bidi="cs-CZ"/>
        </w:rPr>
        <w:t xml:space="preserve">přínos vědy pro transformaci </w:t>
      </w:r>
      <w:r w:rsidRPr="001A3E76">
        <w:rPr>
          <w:rFonts w:ascii="Times New Roman" w:hAnsi="Times New Roman" w:cs="Times New Roman"/>
          <w:lang w:eastAsia="cs-CZ" w:bidi="cs-CZ"/>
        </w:rPr>
        <w:t xml:space="preserve">a zahrnout všechny skupiny obyvatel. Komise chce společně s členskými státy a zúčastněnými stranami organizovat </w:t>
      </w:r>
      <w:r w:rsidRPr="001A3E76">
        <w:rPr>
          <w:rFonts w:ascii="Times New Roman" w:hAnsi="Times New Roman" w:cs="Times New Roman"/>
          <w:b/>
          <w:bCs/>
          <w:i/>
          <w:iCs/>
          <w:lang w:eastAsia="cs-CZ" w:bidi="cs-CZ"/>
        </w:rPr>
        <w:t>celoevropské participativní občanské vědecké kampaně</w:t>
      </w:r>
      <w:r w:rsidRPr="001A3E76">
        <w:rPr>
          <w:rFonts w:ascii="Times New Roman" w:hAnsi="Times New Roman" w:cs="Times New Roman"/>
          <w:lang w:eastAsia="cs-CZ" w:bidi="cs-CZ"/>
        </w:rPr>
        <w:t>. K zapojení občanů a šíření informací lze využít mise programu Horizont Evropa a nejrůznější sítě, jako je</w:t>
      </w:r>
      <w:hyperlink r:id="rId38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Evropský portál pro mládež,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</w:t>
      </w:r>
      <w:hyperlink r:id="rId39" w:history="1">
        <w:r w:rsidRPr="001A3E76">
          <w:rPr>
            <w:rFonts w:ascii="Times New Roman" w:hAnsi="Times New Roman" w:cs="Times New Roman"/>
            <w:lang w:eastAsia="cs-CZ" w:bidi="cs-CZ"/>
          </w:rPr>
          <w:t>Eurodesk,</w:t>
        </w:r>
      </w:hyperlink>
      <w:hyperlink r:id="rId40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Evropské fórum mládeže,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sdružení studentů a absolventů, portál</w:t>
      </w:r>
      <w:hyperlink r:id="rId41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EU BIK </w:t>
        </w:r>
      </w:hyperlink>
      <w:r w:rsidRPr="001A3E76">
        <w:rPr>
          <w:rFonts w:ascii="Times New Roman" w:hAnsi="Times New Roman" w:cs="Times New Roman"/>
          <w:lang w:eastAsia="cs-CZ" w:bidi="cs-CZ"/>
        </w:rPr>
        <w:t>(Internet lépe uzpůsobený dětem),</w:t>
      </w:r>
      <w:hyperlink r:id="rId42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eTwinning,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portál</w:t>
      </w:r>
      <w:hyperlink r:id="rId43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School Education Gateway </w:t>
        </w:r>
      </w:hyperlink>
      <w:r w:rsidRPr="001A3E76">
        <w:rPr>
          <w:rFonts w:ascii="Times New Roman" w:hAnsi="Times New Roman" w:cs="Times New Roman"/>
          <w:lang w:eastAsia="cs-CZ" w:bidi="cs-CZ"/>
        </w:rPr>
        <w:t>nebo platforma</w:t>
      </w:r>
      <w:hyperlink r:id="rId44" w:history="1">
        <w:r w:rsidRPr="001A3E76">
          <w:rPr>
            <w:rFonts w:ascii="Times New Roman" w:hAnsi="Times New Roman" w:cs="Times New Roman"/>
            <w:lang w:eastAsia="cs-CZ" w:bidi="cs-CZ"/>
          </w:rPr>
          <w:t xml:space="preserve"> EPALE</w:t>
        </w:r>
      </w:hyperlink>
      <w:r w:rsidRPr="001A3E76">
        <w:rPr>
          <w:rFonts w:ascii="Times New Roman" w:hAnsi="Times New Roman" w:cs="Times New Roman"/>
          <w:lang w:eastAsia="cs-CZ" w:bidi="cs-CZ"/>
        </w:rPr>
        <w:t xml:space="preserve"> (vzdělávání dospělých).</w:t>
      </w:r>
    </w:p>
    <w:p w:rsidR="001A3E76" w:rsidRPr="001A3E76" w:rsidRDefault="001A3E76" w:rsidP="001A3E7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rPr>
          <w:rFonts w:ascii="Times New Roman" w:hAnsi="Times New Roman" w:cs="Times New Roman"/>
        </w:rPr>
      </w:pPr>
      <w:bookmarkStart w:id="14" w:name="bookmark16"/>
      <w:bookmarkStart w:id="15" w:name="bookmark17"/>
      <w:r w:rsidRPr="001A3E76">
        <w:rPr>
          <w:rFonts w:ascii="Times New Roman" w:hAnsi="Times New Roman" w:cs="Times New Roman"/>
          <w:lang w:eastAsia="cs-CZ" w:bidi="cs-CZ"/>
        </w:rPr>
        <w:t>Stanovisko vlády ČR:</w:t>
      </w:r>
      <w:bookmarkEnd w:id="14"/>
      <w:bookmarkEnd w:id="15"/>
    </w:p>
    <w:p w:rsidR="001A3E76" w:rsidRPr="001A3E76" w:rsidRDefault="001A3E76" w:rsidP="001A3E76">
      <w:pPr>
        <w:pStyle w:val="Zkladntext1"/>
        <w:shd w:val="clear" w:color="auto" w:fill="auto"/>
        <w:spacing w:after="28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Vláda ČR sdělení vítá a vnímá ho jako jeden ze základních kroků pro další diskuzi o posílení EVP a přípravu nového programového období po roce 2020. Uvědomuje si naléhavost zvýšení veřejných i soukromých investic do výzkumu a inovací, ale domnívá se, že požadované navýšení investic méně výkonných států o 50 % v příštích 5 letech může být pro některé členské státy nedosažitelné, zejména v souvislosti s dopadem pandemie covidu-19. ČR se zavázala dosáhnout cíle 3 % HDP na investice do výzkumu, vývoje a inovací do roku 2030 v Inovační strategii ČR na roky 2019-2030. Vláda podporuje užší spolupráci členských států EU v rámci EVP i upřednostnění investic a reforem směrem k zelené a digitální transformaci na podporu oživení Evropy a pro zvýšení konkurenceschopnosti.</w:t>
      </w:r>
    </w:p>
    <w:p w:rsidR="001A3E76" w:rsidRPr="001A3E76" w:rsidRDefault="001A3E76" w:rsidP="001A3E7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rPr>
          <w:rFonts w:ascii="Times New Roman" w:hAnsi="Times New Roman" w:cs="Times New Roman"/>
        </w:rPr>
      </w:pPr>
      <w:bookmarkStart w:id="16" w:name="bookmark18"/>
      <w:bookmarkStart w:id="17" w:name="bookmark19"/>
      <w:r w:rsidRPr="001A3E76">
        <w:rPr>
          <w:rFonts w:ascii="Times New Roman" w:hAnsi="Times New Roman" w:cs="Times New Roman"/>
          <w:lang w:eastAsia="cs-CZ" w:bidi="cs-CZ"/>
        </w:rPr>
        <w:t>Předpokládaný harmonogram projednávání v orgánech EU:</w:t>
      </w:r>
      <w:bookmarkEnd w:id="16"/>
      <w:bookmarkEnd w:id="17"/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Sdělení se projednává v Pracovní skupině Rady pro výzkum.</w:t>
      </w:r>
    </w:p>
    <w:p w:rsidR="001A3E76" w:rsidRPr="001A3E76" w:rsidRDefault="001A3E76" w:rsidP="001A3E76">
      <w:pPr>
        <w:pStyle w:val="Zkladntext1"/>
        <w:shd w:val="clear" w:color="auto" w:fill="auto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lang w:eastAsia="cs-CZ" w:bidi="cs-CZ"/>
        </w:rPr>
        <w:t>V Evropském parlamentu bylo sdělení přiděleno Výboru pro průmysl výzkum a energetiku (ITRE) a jeho projednávání se nachází v přípravné fázi.</w:t>
      </w:r>
    </w:p>
    <w:p w:rsidR="001A3E76" w:rsidRPr="001A3E76" w:rsidRDefault="001A3E76" w:rsidP="001A3E76">
      <w:pPr>
        <w:pStyle w:val="Zkladntext1"/>
        <w:shd w:val="clear" w:color="auto" w:fill="auto"/>
        <w:spacing w:after="60"/>
        <w:ind w:left="360"/>
        <w:rPr>
          <w:rFonts w:ascii="Times New Roman" w:hAnsi="Times New Roman" w:cs="Times New Roman"/>
        </w:rPr>
      </w:pPr>
      <w:r w:rsidRPr="001A3E76">
        <w:rPr>
          <w:rFonts w:ascii="Times New Roman" w:hAnsi="Times New Roman" w:cs="Times New Roman"/>
          <w:i/>
          <w:iCs/>
          <w:lang w:eastAsia="cs-CZ" w:bidi="cs-CZ"/>
        </w:rPr>
        <w:t>Zpracovala Mgr. Helena Paldusová, odborná konzultantka Parlamentního institutu Kanceláře PS PČR.</w:t>
      </w:r>
    </w:p>
    <w:p w:rsidR="00533EE9" w:rsidRPr="001A3E76" w:rsidRDefault="00533EE9" w:rsidP="002F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3EE9" w:rsidRPr="001A3E76" w:rsidSect="00631131">
      <w:footerReference w:type="default" r:id="rId4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76" w:rsidRDefault="001A3E76" w:rsidP="001A3E76">
      <w:pPr>
        <w:spacing w:after="0" w:line="240" w:lineRule="auto"/>
      </w:pPr>
      <w:r>
        <w:separator/>
      </w:r>
    </w:p>
  </w:endnote>
  <w:endnote w:type="continuationSeparator" w:id="0">
    <w:p w:rsidR="001A3E76" w:rsidRDefault="001A3E76" w:rsidP="001A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76" w:rsidRDefault="001A3E76">
    <w:pPr>
      <w:spacing w:line="14" w:lineRule="exac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28B2081" wp14:editId="6E6ACE40">
              <wp:simplePos x="0" y="0"/>
              <wp:positionH relativeFrom="page">
                <wp:posOffset>6671310</wp:posOffset>
              </wp:positionH>
              <wp:positionV relativeFrom="page">
                <wp:posOffset>10017760</wp:posOffset>
              </wp:positionV>
              <wp:extent cx="79375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3E76" w:rsidRDefault="001A3E7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1015" w:rsidRPr="00321015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B2081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25.3pt;margin-top:788.8pt;width:6.25pt;height:10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" filled="f" stroked="f">
              <v:textbox style="mso-fit-shape-to-text:t" inset="0,0,0,0">
                <w:txbxContent>
                  <w:p w:rsidR="001A3E76" w:rsidRDefault="001A3E76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1015" w:rsidRPr="00321015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76" w:rsidRDefault="001A3E76" w:rsidP="001A3E76">
      <w:pPr>
        <w:spacing w:after="0" w:line="240" w:lineRule="auto"/>
      </w:pPr>
      <w:r>
        <w:separator/>
      </w:r>
    </w:p>
  </w:footnote>
  <w:footnote w:type="continuationSeparator" w:id="0">
    <w:p w:rsidR="001A3E76" w:rsidRDefault="001A3E76" w:rsidP="001A3E76">
      <w:pPr>
        <w:spacing w:after="0" w:line="240" w:lineRule="auto"/>
      </w:pPr>
      <w:r>
        <w:continuationSeparator/>
      </w:r>
    </w:p>
  </w:footnote>
  <w:footnote w:id="1">
    <w:p w:rsidR="001A3E76" w:rsidRDefault="001A3E76" w:rsidP="001A3E76">
      <w:pPr>
        <w:pStyle w:val="Poznmkapodarou0"/>
        <w:shd w:val="clear" w:color="auto" w:fill="auto"/>
      </w:pPr>
      <w:r>
        <w:rPr>
          <w:color w:val="000000"/>
          <w:vertAlign w:val="superscript"/>
          <w:lang w:eastAsia="cs-CZ" w:bidi="cs-CZ"/>
        </w:rPr>
        <w:footnoteRef/>
      </w:r>
      <w:r>
        <w:rPr>
          <w:color w:val="000000"/>
          <w:lang w:eastAsia="cs-CZ" w:bidi="cs-CZ"/>
        </w:rPr>
        <w:t xml:space="preserve"> V Jižní Koreji činí 3,64 %, v Japonsku 2,59 %, v USA 2,05 % a v Číně 1,69 %.</w:t>
      </w:r>
    </w:p>
  </w:footnote>
  <w:footnote w:id="2">
    <w:p w:rsidR="001A3E76" w:rsidRDefault="001A3E76" w:rsidP="001A3E76">
      <w:pPr>
        <w:pStyle w:val="Poznmkapodarou0"/>
        <w:shd w:val="clear" w:color="auto" w:fill="auto"/>
      </w:pPr>
      <w:r>
        <w:rPr>
          <w:color w:val="000000"/>
          <w:vertAlign w:val="superscript"/>
          <w:lang w:eastAsia="cs-CZ" w:bidi="cs-CZ"/>
        </w:rPr>
        <w:footnoteRef/>
      </w:r>
      <w:r>
        <w:rPr>
          <w:color w:val="000000"/>
          <w:lang w:eastAsia="cs-CZ" w:bidi="cs-CZ"/>
        </w:rPr>
        <w:t xml:space="preserve"> Viz </w:t>
      </w:r>
      <w:r w:rsidRPr="001A3E76">
        <w:rPr>
          <w:lang w:eastAsia="cs-CZ" w:bidi="cs-CZ"/>
        </w:rPr>
        <w:t>také</w:t>
      </w:r>
      <w:hyperlink r:id="rId1" w:history="1">
        <w:r w:rsidRPr="001A3E76">
          <w:rPr>
            <w:lang w:eastAsia="cs-CZ" w:bidi="cs-CZ"/>
          </w:rPr>
          <w:t xml:space="preserve"> https://www.eib.org/attachments/efs/innovation_investment_in_cesee_en.pdf.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40B3"/>
    <w:multiLevelType w:val="multilevel"/>
    <w:tmpl w:val="AEBAA7A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C232B"/>
    <w:multiLevelType w:val="multilevel"/>
    <w:tmpl w:val="D2E06F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D3"/>
    <w:rsid w:val="0005036E"/>
    <w:rsid w:val="000676CE"/>
    <w:rsid w:val="000D4AAC"/>
    <w:rsid w:val="000E06E2"/>
    <w:rsid w:val="000F402B"/>
    <w:rsid w:val="00107CA8"/>
    <w:rsid w:val="001862AC"/>
    <w:rsid w:val="00191B4F"/>
    <w:rsid w:val="001A3E76"/>
    <w:rsid w:val="001F7CB3"/>
    <w:rsid w:val="00204CF1"/>
    <w:rsid w:val="00223175"/>
    <w:rsid w:val="00244FEA"/>
    <w:rsid w:val="00255964"/>
    <w:rsid w:val="00255F89"/>
    <w:rsid w:val="002644E6"/>
    <w:rsid w:val="00281483"/>
    <w:rsid w:val="00282086"/>
    <w:rsid w:val="0028472A"/>
    <w:rsid w:val="002C1B5E"/>
    <w:rsid w:val="002C2A7B"/>
    <w:rsid w:val="002D776C"/>
    <w:rsid w:val="002E29F1"/>
    <w:rsid w:val="002F0776"/>
    <w:rsid w:val="002F3F2E"/>
    <w:rsid w:val="0031155D"/>
    <w:rsid w:val="00321015"/>
    <w:rsid w:val="00373A85"/>
    <w:rsid w:val="00385E1E"/>
    <w:rsid w:val="00385ED3"/>
    <w:rsid w:val="003A77BA"/>
    <w:rsid w:val="003B31AA"/>
    <w:rsid w:val="003B6340"/>
    <w:rsid w:val="003C4666"/>
    <w:rsid w:val="003F5133"/>
    <w:rsid w:val="0040594A"/>
    <w:rsid w:val="00415BBA"/>
    <w:rsid w:val="00416168"/>
    <w:rsid w:val="00425B0F"/>
    <w:rsid w:val="004441C4"/>
    <w:rsid w:val="00446480"/>
    <w:rsid w:val="00466131"/>
    <w:rsid w:val="00487127"/>
    <w:rsid w:val="004914FE"/>
    <w:rsid w:val="004947AC"/>
    <w:rsid w:val="004B3FBC"/>
    <w:rsid w:val="004C1360"/>
    <w:rsid w:val="00526862"/>
    <w:rsid w:val="00533EE9"/>
    <w:rsid w:val="00536309"/>
    <w:rsid w:val="0055270E"/>
    <w:rsid w:val="00572B6A"/>
    <w:rsid w:val="00592499"/>
    <w:rsid w:val="005C3A2B"/>
    <w:rsid w:val="005C4D88"/>
    <w:rsid w:val="005D4580"/>
    <w:rsid w:val="005D6898"/>
    <w:rsid w:val="005E0A20"/>
    <w:rsid w:val="005E400C"/>
    <w:rsid w:val="006133D5"/>
    <w:rsid w:val="00615A7C"/>
    <w:rsid w:val="00620196"/>
    <w:rsid w:val="00631131"/>
    <w:rsid w:val="00635419"/>
    <w:rsid w:val="00644CD8"/>
    <w:rsid w:val="00670A29"/>
    <w:rsid w:val="00673D13"/>
    <w:rsid w:val="00673D6A"/>
    <w:rsid w:val="00674163"/>
    <w:rsid w:val="0068617C"/>
    <w:rsid w:val="00687735"/>
    <w:rsid w:val="006963DE"/>
    <w:rsid w:val="006A7FFA"/>
    <w:rsid w:val="006B0D35"/>
    <w:rsid w:val="006D21F1"/>
    <w:rsid w:val="006E465C"/>
    <w:rsid w:val="00716DFF"/>
    <w:rsid w:val="007555E3"/>
    <w:rsid w:val="00757A8C"/>
    <w:rsid w:val="00796AE8"/>
    <w:rsid w:val="007B4218"/>
    <w:rsid w:val="007C4BED"/>
    <w:rsid w:val="007E567B"/>
    <w:rsid w:val="007F3184"/>
    <w:rsid w:val="00802A77"/>
    <w:rsid w:val="00804E8F"/>
    <w:rsid w:val="0081605C"/>
    <w:rsid w:val="008606EA"/>
    <w:rsid w:val="00860B82"/>
    <w:rsid w:val="00872946"/>
    <w:rsid w:val="0088102F"/>
    <w:rsid w:val="00887475"/>
    <w:rsid w:val="008A03F5"/>
    <w:rsid w:val="008B4A80"/>
    <w:rsid w:val="008B4FD2"/>
    <w:rsid w:val="008C02B3"/>
    <w:rsid w:val="008C1703"/>
    <w:rsid w:val="008E1695"/>
    <w:rsid w:val="008F24FE"/>
    <w:rsid w:val="00907F1B"/>
    <w:rsid w:val="00913BF2"/>
    <w:rsid w:val="009149B7"/>
    <w:rsid w:val="009207AB"/>
    <w:rsid w:val="00940C41"/>
    <w:rsid w:val="0097366E"/>
    <w:rsid w:val="009D32F3"/>
    <w:rsid w:val="009D5469"/>
    <w:rsid w:val="009E0D50"/>
    <w:rsid w:val="009E13DE"/>
    <w:rsid w:val="00A062FA"/>
    <w:rsid w:val="00A16D5A"/>
    <w:rsid w:val="00A213F1"/>
    <w:rsid w:val="00A31061"/>
    <w:rsid w:val="00A4023A"/>
    <w:rsid w:val="00A453BE"/>
    <w:rsid w:val="00A82B6B"/>
    <w:rsid w:val="00A86B5C"/>
    <w:rsid w:val="00AC3085"/>
    <w:rsid w:val="00AD06D4"/>
    <w:rsid w:val="00AD5550"/>
    <w:rsid w:val="00B0322D"/>
    <w:rsid w:val="00B12D85"/>
    <w:rsid w:val="00B20866"/>
    <w:rsid w:val="00B96599"/>
    <w:rsid w:val="00BE43D8"/>
    <w:rsid w:val="00C04FE8"/>
    <w:rsid w:val="00C2615F"/>
    <w:rsid w:val="00C37BA8"/>
    <w:rsid w:val="00CB3056"/>
    <w:rsid w:val="00CB4642"/>
    <w:rsid w:val="00CE472A"/>
    <w:rsid w:val="00D16C2C"/>
    <w:rsid w:val="00D23C11"/>
    <w:rsid w:val="00D26676"/>
    <w:rsid w:val="00D3304D"/>
    <w:rsid w:val="00D8746D"/>
    <w:rsid w:val="00E208E3"/>
    <w:rsid w:val="00E5347F"/>
    <w:rsid w:val="00E665C3"/>
    <w:rsid w:val="00E72709"/>
    <w:rsid w:val="00E9275F"/>
    <w:rsid w:val="00EC1C69"/>
    <w:rsid w:val="00EE069D"/>
    <w:rsid w:val="00EF5D3D"/>
    <w:rsid w:val="00F051C7"/>
    <w:rsid w:val="00F112D8"/>
    <w:rsid w:val="00F21D1F"/>
    <w:rsid w:val="00F24EE1"/>
    <w:rsid w:val="00F36693"/>
    <w:rsid w:val="00F81A17"/>
    <w:rsid w:val="00F943C8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335D"/>
  <w15:chartTrackingRefBased/>
  <w15:docId w15:val="{A4736F60-9E71-4778-B848-559138E4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ED3"/>
    <w:pPr>
      <w:suppressAutoHyphens/>
      <w:spacing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317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Cs w:val="20"/>
      <w:lang w:eastAsia="zh-CN" w:bidi="hi-IN"/>
    </w:rPr>
  </w:style>
  <w:style w:type="character" w:styleId="Siln">
    <w:name w:val="Strong"/>
    <w:basedOn w:val="Standardnpsmoodstavce"/>
    <w:uiPriority w:val="22"/>
    <w:qFormat/>
    <w:rsid w:val="002F3F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6B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Poznmkapodarou">
    <w:name w:val="Poznámka pod čarou_"/>
    <w:basedOn w:val="Standardnpsmoodstavce"/>
    <w:link w:val="Poznmkapodarou0"/>
    <w:rsid w:val="001A3E7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sid w:val="001A3E76"/>
    <w:rPr>
      <w:rFonts w:ascii="Arial" w:eastAsia="Arial" w:hAnsi="Arial" w:cs="Arial"/>
      <w:color w:val="292825"/>
      <w:sz w:val="17"/>
      <w:szCs w:val="17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1A3E76"/>
    <w:rPr>
      <w:rFonts w:ascii="Calibri" w:eastAsia="Calibri" w:hAnsi="Calibri" w:cs="Calibri"/>
      <w:color w:val="292825"/>
      <w:sz w:val="30"/>
      <w:szCs w:val="30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1A3E76"/>
    <w:rPr>
      <w:rFonts w:ascii="Calibri" w:eastAsia="Calibri" w:hAnsi="Calibri" w:cs="Calibri"/>
      <w:color w:val="292825"/>
      <w:sz w:val="48"/>
      <w:szCs w:val="4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1A3E76"/>
    <w:rPr>
      <w:rFonts w:ascii="Arial" w:eastAsia="Arial" w:hAnsi="Arial" w:cs="Arial"/>
      <w:color w:val="1F4E79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1A3E76"/>
    <w:rPr>
      <w:rFonts w:ascii="Arial" w:eastAsia="Arial" w:hAnsi="Arial" w:cs="Arial"/>
      <w:b/>
      <w:bCs/>
      <w:color w:val="1F4E79"/>
      <w:sz w:val="34"/>
      <w:szCs w:val="34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1A3E7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1A3E76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Zhlavnebozpat2">
    <w:name w:val="Záhlaví nebo zápatí (2)_"/>
    <w:basedOn w:val="Standardnpsmoodstavce"/>
    <w:link w:val="Zhlavnebozpat20"/>
    <w:rsid w:val="001A3E76"/>
    <w:rPr>
      <w:rFonts w:eastAsia="Times New Roman"/>
      <w:sz w:val="20"/>
      <w:szCs w:val="20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1A3E76"/>
    <w:pPr>
      <w:widowControl w:val="0"/>
      <w:shd w:val="clear" w:color="auto" w:fill="FFFFFF"/>
      <w:suppressAutoHyphens w:val="0"/>
      <w:spacing w:after="0" w:line="240" w:lineRule="auto"/>
      <w:ind w:left="36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Titulekobrzku0">
    <w:name w:val="Titulek obrázku"/>
    <w:basedOn w:val="Normln"/>
    <w:link w:val="Titulekobrzku"/>
    <w:rsid w:val="001A3E76"/>
    <w:pPr>
      <w:widowControl w:val="0"/>
      <w:shd w:val="clear" w:color="auto" w:fill="FFFFFF"/>
      <w:suppressAutoHyphens w:val="0"/>
      <w:spacing w:after="0" w:line="295" w:lineRule="auto"/>
    </w:pPr>
    <w:rPr>
      <w:rFonts w:ascii="Arial" w:eastAsia="Arial" w:hAnsi="Arial" w:cs="Arial"/>
      <w:color w:val="292825"/>
      <w:sz w:val="17"/>
      <w:szCs w:val="17"/>
      <w:lang w:eastAsia="en-US"/>
    </w:rPr>
  </w:style>
  <w:style w:type="paragraph" w:customStyle="1" w:styleId="Nadpis30">
    <w:name w:val="Nadpis #3"/>
    <w:basedOn w:val="Normln"/>
    <w:link w:val="Nadpis3"/>
    <w:rsid w:val="001A3E76"/>
    <w:pPr>
      <w:widowControl w:val="0"/>
      <w:shd w:val="clear" w:color="auto" w:fill="FFFFFF"/>
      <w:suppressAutoHyphens w:val="0"/>
      <w:spacing w:after="0" w:line="240" w:lineRule="auto"/>
      <w:outlineLvl w:val="2"/>
    </w:pPr>
    <w:rPr>
      <w:rFonts w:cs="Calibri"/>
      <w:color w:val="292825"/>
      <w:sz w:val="30"/>
      <w:szCs w:val="30"/>
      <w:lang w:eastAsia="en-US"/>
    </w:rPr>
  </w:style>
  <w:style w:type="paragraph" w:customStyle="1" w:styleId="Nadpis10">
    <w:name w:val="Nadpis #1"/>
    <w:basedOn w:val="Normln"/>
    <w:link w:val="Nadpis1"/>
    <w:rsid w:val="001A3E76"/>
    <w:pPr>
      <w:widowControl w:val="0"/>
      <w:shd w:val="clear" w:color="auto" w:fill="FFFFFF"/>
      <w:suppressAutoHyphens w:val="0"/>
      <w:spacing w:after="0" w:line="240" w:lineRule="auto"/>
      <w:outlineLvl w:val="0"/>
    </w:pPr>
    <w:rPr>
      <w:rFonts w:cs="Calibri"/>
      <w:color w:val="292825"/>
      <w:sz w:val="48"/>
      <w:szCs w:val="48"/>
      <w:lang w:eastAsia="en-US"/>
    </w:rPr>
  </w:style>
  <w:style w:type="paragraph" w:customStyle="1" w:styleId="Zkladntext20">
    <w:name w:val="Základní text (2)"/>
    <w:basedOn w:val="Normln"/>
    <w:link w:val="Zkladntext2"/>
    <w:rsid w:val="001A3E76"/>
    <w:pPr>
      <w:widowControl w:val="0"/>
      <w:shd w:val="clear" w:color="auto" w:fill="FFFFFF"/>
      <w:suppressAutoHyphens w:val="0"/>
      <w:spacing w:after="0" w:line="240" w:lineRule="auto"/>
      <w:ind w:right="20"/>
      <w:jc w:val="center"/>
    </w:pPr>
    <w:rPr>
      <w:rFonts w:ascii="Arial" w:eastAsia="Arial" w:hAnsi="Arial" w:cs="Arial"/>
      <w:color w:val="1F4E79"/>
      <w:sz w:val="24"/>
      <w:szCs w:val="24"/>
      <w:lang w:eastAsia="en-US"/>
    </w:rPr>
  </w:style>
  <w:style w:type="paragraph" w:customStyle="1" w:styleId="Nadpis20">
    <w:name w:val="Nadpis #2"/>
    <w:basedOn w:val="Normln"/>
    <w:link w:val="Nadpis2"/>
    <w:rsid w:val="001A3E76"/>
    <w:pPr>
      <w:widowControl w:val="0"/>
      <w:shd w:val="clear" w:color="auto" w:fill="FFFFFF"/>
      <w:suppressAutoHyphens w:val="0"/>
      <w:spacing w:after="560" w:line="240" w:lineRule="auto"/>
      <w:ind w:left="460"/>
      <w:outlineLvl w:val="1"/>
    </w:pPr>
    <w:rPr>
      <w:rFonts w:ascii="Arial" w:eastAsia="Arial" w:hAnsi="Arial" w:cs="Arial"/>
      <w:b/>
      <w:bCs/>
      <w:color w:val="1F4E79"/>
      <w:sz w:val="34"/>
      <w:szCs w:val="34"/>
      <w:lang w:eastAsia="en-US"/>
    </w:rPr>
  </w:style>
  <w:style w:type="paragraph" w:customStyle="1" w:styleId="Nadpis40">
    <w:name w:val="Nadpis #4"/>
    <w:basedOn w:val="Normln"/>
    <w:link w:val="Nadpis4"/>
    <w:rsid w:val="001A3E76"/>
    <w:pPr>
      <w:widowControl w:val="0"/>
      <w:shd w:val="clear" w:color="auto" w:fill="FFFFFF"/>
      <w:suppressAutoHyphens w:val="0"/>
      <w:spacing w:after="0" w:line="240" w:lineRule="auto"/>
      <w:outlineLvl w:val="3"/>
    </w:pPr>
    <w:rPr>
      <w:rFonts w:cs="Calibri"/>
      <w:b/>
      <w:bCs/>
      <w:lang w:eastAsia="en-US"/>
    </w:rPr>
  </w:style>
  <w:style w:type="paragraph" w:customStyle="1" w:styleId="Zkladntext1">
    <w:name w:val="Základní text1"/>
    <w:basedOn w:val="Normln"/>
    <w:link w:val="Zkladntext"/>
    <w:rsid w:val="001A3E76"/>
    <w:pPr>
      <w:widowControl w:val="0"/>
      <w:shd w:val="clear" w:color="auto" w:fill="FFFFFF"/>
      <w:suppressAutoHyphens w:val="0"/>
      <w:spacing w:after="120" w:line="257" w:lineRule="auto"/>
      <w:jc w:val="both"/>
    </w:pPr>
    <w:rPr>
      <w:rFonts w:cs="Calibri"/>
      <w:lang w:eastAsia="en-US"/>
    </w:rPr>
  </w:style>
  <w:style w:type="paragraph" w:customStyle="1" w:styleId="Zhlavnebozpat20">
    <w:name w:val="Záhlaví nebo zápatí (2)"/>
    <w:basedOn w:val="Normln"/>
    <w:link w:val="Zhlavnebozpat2"/>
    <w:rsid w:val="001A3E76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?uri=CELEX%3A52020DC0628&amp;qid=1604915914025" TargetMode="External"/><Relationship Id="rId13" Type="http://schemas.openxmlformats.org/officeDocument/2006/relationships/hyperlink" Target="https://euraxess.ec.europa.eu/" TargetMode="External"/><Relationship Id="rId18" Type="http://schemas.openxmlformats.org/officeDocument/2006/relationships/hyperlink" Target="https://ec.europa.eu/info/research-and-innovation/strategy/support-policy-making/support-national-research-and-innovation-policy-making/srip-report_en" TargetMode="External"/><Relationship Id="rId26" Type="http://schemas.openxmlformats.org/officeDocument/2006/relationships/hyperlink" Target="https://eur-lex.europa.eu/legal-content/CS/TXT/?uri=CELEX%3A52020DC0624&amp;qid=1604919301743" TargetMode="External"/><Relationship Id="rId39" Type="http://schemas.openxmlformats.org/officeDocument/2006/relationships/hyperlink" Target="https://eurodesk.eu/?gclid=EAIaIQobChMIm4uh_vT17AIVyOJ3Ch1wEgmoEAAYASAAEgLSovD_Bw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-lex.europa.eu/legal-content/CS/TXT/?uri=CELEX%3A52020DC0102&amp;qid=1604919020399" TargetMode="External"/><Relationship Id="rId34" Type="http://schemas.openxmlformats.org/officeDocument/2006/relationships/hyperlink" Target="https://www.resaver.eu/" TargetMode="External"/><Relationship Id="rId42" Type="http://schemas.openxmlformats.org/officeDocument/2006/relationships/hyperlink" Target="https://www.etwinning.net/cz/pub/index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ur-lex.europa.eu/legal-content/CS/TXT/?uri=CELEX%3A52020DC0628&amp;qid=1604915914025" TargetMode="External"/><Relationship Id="rId12" Type="http://schemas.openxmlformats.org/officeDocument/2006/relationships/hyperlink" Target="https://euraxess.ec.europa.eu/euraxess/charter-code-researchers" TargetMode="External"/><Relationship Id="rId17" Type="http://schemas.openxmlformats.org/officeDocument/2006/relationships/hyperlink" Target="https://ec.europa.eu/info/research-and-innovation/strategy/support-policy-making/support-national-research-and-innovation-policy-making/srip-report_en" TargetMode="External"/><Relationship Id="rId25" Type="http://schemas.openxmlformats.org/officeDocument/2006/relationships/hyperlink" Target="https://eur-lex.europa.eu/legal-content/CS/TXT/?uri=CELEX%3A52020DC0624&amp;qid=1604919301743" TargetMode="External"/><Relationship Id="rId33" Type="http://schemas.openxmlformats.org/officeDocument/2006/relationships/hyperlink" Target="https://ec.europa.eu/digital-single-market/en/startup-europe" TargetMode="External"/><Relationship Id="rId38" Type="http://schemas.openxmlformats.org/officeDocument/2006/relationships/hyperlink" Target="https://europa.eu/youth/EU_c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osc-portal.eu/" TargetMode="External"/><Relationship Id="rId20" Type="http://schemas.openxmlformats.org/officeDocument/2006/relationships/hyperlink" Target="https://global-response.europa.eu/index_en" TargetMode="External"/><Relationship Id="rId29" Type="http://schemas.openxmlformats.org/officeDocument/2006/relationships/hyperlink" Target="https://rio.jrc.ec.europa.eu/policy-support-facility" TargetMode="External"/><Relationship Id="rId41" Type="http://schemas.openxmlformats.org/officeDocument/2006/relationships/hyperlink" Target="https://www.betterinternetforkids.e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axess.ec.europa.eu/euraxess/charter-code-researchers" TargetMode="External"/><Relationship Id="rId24" Type="http://schemas.openxmlformats.org/officeDocument/2006/relationships/hyperlink" Target="https://eur-lex.europa.eu/legal-content/CS/TXT/?uri=CELEX%3A52020DC0274&amp;qid=1604919176705" TargetMode="External"/><Relationship Id="rId32" Type="http://schemas.openxmlformats.org/officeDocument/2006/relationships/hyperlink" Target="https://een.ec.europa.eu/" TargetMode="External"/><Relationship Id="rId37" Type="http://schemas.openxmlformats.org/officeDocument/2006/relationships/hyperlink" Target="https://ec.europa.eu/info/publications/she-figures-2018_en" TargetMode="External"/><Relationship Id="rId40" Type="http://schemas.openxmlformats.org/officeDocument/2006/relationships/hyperlink" Target="https://www.youthforum.org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research/openscience/index.cfm?pg=openaccess" TargetMode="External"/><Relationship Id="rId23" Type="http://schemas.openxmlformats.org/officeDocument/2006/relationships/hyperlink" Target="https://eur-lex.europa.eu/legal-content/CS/TXT/?uri=CELEX%3A52020DC0274&amp;qid=1604919176705" TargetMode="External"/><Relationship Id="rId28" Type="http://schemas.openxmlformats.org/officeDocument/2006/relationships/hyperlink" Target="https://eur-lex.europa.eu/legal-content/CS/TXT/?uri=CELEX%3A52020SC0214&amp;qid=1605012489617" TargetMode="External"/><Relationship Id="rId36" Type="http://schemas.openxmlformats.org/officeDocument/2006/relationships/hyperlink" Target="https://ec.europa.eu/education/education-in-the-eu/european-education-area/european-universities-initiative_cs" TargetMode="External"/><Relationship Id="rId10" Type="http://schemas.openxmlformats.org/officeDocument/2006/relationships/hyperlink" Target="https://eur-lex.europa.eu/legal-content/CS/TXT/?uri=CELEX%3A12016E179" TargetMode="External"/><Relationship Id="rId19" Type="http://schemas.openxmlformats.org/officeDocument/2006/relationships/hyperlink" Target="https://ec.europa.eu/info/research-and-innovation/strategy/era_en%23eravscorona-action-plan" TargetMode="External"/><Relationship Id="rId31" Type="http://schemas.openxmlformats.org/officeDocument/2006/relationships/hyperlink" Target="https://cor.europa.eu/en/our-work/Documents/SEDEC/KEP-action-plan-2019-en.pdf" TargetMode="External"/><Relationship Id="rId44" Type="http://schemas.openxmlformats.org/officeDocument/2006/relationships/hyperlink" Target="https://epale.ec.europa.eu/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CS/TXT/?uri=CELEX%3A12016E179" TargetMode="External"/><Relationship Id="rId14" Type="http://schemas.openxmlformats.org/officeDocument/2006/relationships/hyperlink" Target="https://ec.europa.eu/research/openscience/index.cfm?pg=openaccess" TargetMode="External"/><Relationship Id="rId22" Type="http://schemas.openxmlformats.org/officeDocument/2006/relationships/hyperlink" Target="https://eur-lex.europa.eu/legal-content/CS/TXT/?uri=CELEX%3A52020DC0102&amp;qid=1604919020399" TargetMode="External"/><Relationship Id="rId27" Type="http://schemas.openxmlformats.org/officeDocument/2006/relationships/hyperlink" Target="https://eur-lex.europa.eu/legal-content/CS/TXT/?uri=CELEX%3A52020DC0625&amp;qid=1604919353734" TargetMode="External"/><Relationship Id="rId30" Type="http://schemas.openxmlformats.org/officeDocument/2006/relationships/hyperlink" Target="https://eur-lex.europa.eu/legal-content/CS/TXT/?uri=COM:2020:0409:FIN" TargetMode="External"/><Relationship Id="rId35" Type="http://schemas.openxmlformats.org/officeDocument/2006/relationships/hyperlink" Target="https://www.esfri.eu/esfri-white-paper" TargetMode="External"/><Relationship Id="rId43" Type="http://schemas.openxmlformats.org/officeDocument/2006/relationships/hyperlink" Target="https://www.schooleducationgateway.eu/en/pub/index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b.org/attachments/efs/innovation_investment_in_cesee_en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3313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Civinova Eva</cp:lastModifiedBy>
  <cp:revision>6</cp:revision>
  <cp:lastPrinted>2020-11-18T16:52:00Z</cp:lastPrinted>
  <dcterms:created xsi:type="dcterms:W3CDTF">2020-12-08T13:34:00Z</dcterms:created>
  <dcterms:modified xsi:type="dcterms:W3CDTF">2020-12-09T10:28:00Z</dcterms:modified>
</cp:coreProperties>
</file>