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9E4" w:rsidRDefault="00DC29E4" w:rsidP="00377253">
      <w:pPr>
        <w:pStyle w:val="PS-hlavika1"/>
      </w:pPr>
      <w:r>
        <w:t>Parlament České republiky</w:t>
      </w:r>
    </w:p>
    <w:p w:rsidR="00DC29E4" w:rsidRDefault="00DC29E4" w:rsidP="000E730C">
      <w:pPr>
        <w:pStyle w:val="PS-hlavika2"/>
      </w:pPr>
      <w:r>
        <w:t>POSLANECKÁ SNĚMOVNA</w:t>
      </w:r>
    </w:p>
    <w:p w:rsidR="00DC29E4" w:rsidRDefault="00E46EFB" w:rsidP="000E730C">
      <w:pPr>
        <w:pStyle w:val="PS-hlavika2"/>
      </w:pPr>
      <w:r>
        <w:t>2021</w:t>
      </w:r>
    </w:p>
    <w:p w:rsidR="00DC29E4" w:rsidRDefault="00EF0C30" w:rsidP="00377253">
      <w:pPr>
        <w:pStyle w:val="PS-hlavika1"/>
      </w:pPr>
      <w:r>
        <w:t>8</w:t>
      </w:r>
      <w:r w:rsidR="00DC29E4">
        <w:t>. volební období</w:t>
      </w:r>
    </w:p>
    <w:p w:rsidR="00DC29E4" w:rsidRDefault="003A0FC0" w:rsidP="000E730C">
      <w:pPr>
        <w:pStyle w:val="PS-slousnesen"/>
      </w:pPr>
      <w:r>
        <w:t>485</w:t>
      </w:r>
      <w:r w:rsidR="00656C37">
        <w:t>.</w:t>
      </w:r>
    </w:p>
    <w:p w:rsidR="00DC29E4" w:rsidRDefault="00DC29E4" w:rsidP="00903269">
      <w:pPr>
        <w:pStyle w:val="PS-hlavika3"/>
      </w:pPr>
      <w:r>
        <w:t>USNESENÍ</w:t>
      </w:r>
    </w:p>
    <w:p w:rsidR="00DC29E4" w:rsidRDefault="005C30D7" w:rsidP="00377253">
      <w:pPr>
        <w:pStyle w:val="PS-hlavika1"/>
      </w:pPr>
      <w:r>
        <w:t>výboru</w:t>
      </w:r>
      <w:r w:rsidR="00136646">
        <w:t xml:space="preserve"> pro evropské záležitosti</w:t>
      </w:r>
    </w:p>
    <w:p w:rsidR="00DC29E4" w:rsidRDefault="00DC29E4" w:rsidP="00377253">
      <w:pPr>
        <w:pStyle w:val="PS-hlavika1"/>
      </w:pPr>
      <w:r>
        <w:t>z</w:t>
      </w:r>
      <w:r w:rsidR="00730604">
        <w:t>e</w:t>
      </w:r>
      <w:r>
        <w:t xml:space="preserve"> </w:t>
      </w:r>
      <w:r w:rsidR="00594D80">
        <w:t>7</w:t>
      </w:r>
      <w:r w:rsidR="009819ED">
        <w:t>5</w:t>
      </w:r>
      <w:r>
        <w:t>. schůze</w:t>
      </w:r>
    </w:p>
    <w:p w:rsidR="00DC29E4" w:rsidRDefault="00DC29E4" w:rsidP="00377253">
      <w:pPr>
        <w:pStyle w:val="PS-hlavika1"/>
      </w:pPr>
      <w:r>
        <w:t xml:space="preserve">ze dne </w:t>
      </w:r>
      <w:r w:rsidR="00594D80">
        <w:t>15</w:t>
      </w:r>
      <w:r>
        <w:t xml:space="preserve">. </w:t>
      </w:r>
      <w:r w:rsidR="00594D80">
        <w:t>července</w:t>
      </w:r>
      <w:r w:rsidR="00E46EFB">
        <w:t xml:space="preserve"> 2021</w:t>
      </w:r>
    </w:p>
    <w:p w:rsidR="00136646" w:rsidRDefault="00136646" w:rsidP="00136646">
      <w:pPr>
        <w:pStyle w:val="Bezmezer"/>
      </w:pPr>
    </w:p>
    <w:p w:rsidR="00136646" w:rsidRDefault="00136646" w:rsidP="00136646">
      <w:pPr>
        <w:pStyle w:val="Bezmezer"/>
      </w:pPr>
    </w:p>
    <w:p w:rsidR="00136646" w:rsidRPr="00136646" w:rsidRDefault="00136646" w:rsidP="00136646">
      <w:pPr>
        <w:pStyle w:val="Bezmezer"/>
      </w:pPr>
    </w:p>
    <w:p w:rsidR="00BA00F3" w:rsidRDefault="00BA00F3" w:rsidP="00A46CDA">
      <w:pPr>
        <w:pStyle w:val="PS-uvodnodstavec"/>
      </w:pPr>
    </w:p>
    <w:p w:rsidR="00DF2AC4" w:rsidRDefault="00594D80" w:rsidP="00DF2AC4">
      <w:pPr>
        <w:pStyle w:val="DefaultText"/>
        <w:suppressAutoHyphens w:val="0"/>
        <w:jc w:val="center"/>
        <w:rPr>
          <w:szCs w:val="24"/>
        </w:rPr>
      </w:pPr>
      <w:r>
        <w:t>k</w:t>
      </w:r>
      <w:r w:rsidR="00DF2AC4">
        <w:t> </w:t>
      </w:r>
      <w:r>
        <w:t>návrhu</w:t>
      </w:r>
      <w:r w:rsidR="00DF2AC4">
        <w:rPr>
          <w:szCs w:val="24"/>
        </w:rPr>
        <w:t xml:space="preserve"> nařízení Evropského parlamentu a Rady, kterým se mění nařízení (EU) č. 910/2014, pokud jde o zřízení rámce pro evropskou digitální identitu /kód Rady 9471/21, KOM(2021) 281 v konečném znění/</w:t>
      </w:r>
    </w:p>
    <w:p w:rsidR="00BA00F3" w:rsidRDefault="00BA00F3" w:rsidP="00BA00F3">
      <w:pPr>
        <w:pStyle w:val="PS-uvodnodstavec"/>
        <w:pBdr>
          <w:bottom w:val="single" w:sz="4" w:space="1" w:color="auto"/>
        </w:pBdr>
        <w:jc w:val="center"/>
      </w:pPr>
    </w:p>
    <w:p w:rsidR="00D46ACA" w:rsidRDefault="00D46ACA" w:rsidP="00A46CDA">
      <w:pPr>
        <w:pStyle w:val="PS-uvodnodstavec"/>
      </w:pPr>
    </w:p>
    <w:p w:rsidR="00DC29E4" w:rsidRDefault="00136646" w:rsidP="00A46CDA">
      <w:pPr>
        <w:pStyle w:val="PS-uvodnodstavec"/>
      </w:pPr>
      <w:r>
        <w:t>V</w:t>
      </w:r>
      <w:r w:rsidR="00DC29E4">
        <w:t>ýbor</w:t>
      </w:r>
      <w:r>
        <w:t xml:space="preserve"> pro evropské záležitosti</w:t>
      </w:r>
      <w:r w:rsidR="00DC29E4">
        <w:t xml:space="preserve"> Poslanecké sněmovny Parlamentu ČR po vyslechnutí</w:t>
      </w:r>
      <w:r w:rsidR="00A93982">
        <w:t xml:space="preserve"> informace</w:t>
      </w:r>
      <w:r w:rsidR="00DF2AC4">
        <w:t xml:space="preserve"> 1. náměstka ministra vnitra Jiřího Nováčka a</w:t>
      </w:r>
      <w:r w:rsidR="00451B28">
        <w:t xml:space="preserve"> Markéty Ambrožové z</w:t>
      </w:r>
      <w:r w:rsidR="00093E8B">
        <w:t xml:space="preserve"> </w:t>
      </w:r>
      <w:r w:rsidR="00A764B6">
        <w:rPr>
          <w:szCs w:val="24"/>
        </w:rPr>
        <w:t>Oddělení</w:t>
      </w:r>
      <w:r w:rsidR="00093E8B">
        <w:rPr>
          <w:szCs w:val="24"/>
        </w:rPr>
        <w:t xml:space="preserve"> mezinárodních organizací a práva</w:t>
      </w:r>
      <w:r w:rsidR="00451B28">
        <w:t> Národního úřadu pro kybernetickou a informační bezpečnost</w:t>
      </w:r>
      <w:r>
        <w:t>, po vyslechnutí zpravodajské zprávy</w:t>
      </w:r>
      <w:r w:rsidR="00A93982">
        <w:t xml:space="preserve"> posl.</w:t>
      </w:r>
      <w:r w:rsidR="00DF2AC4">
        <w:t xml:space="preserve"> Lukáše Černohorského</w:t>
      </w:r>
      <w:r w:rsidR="00DC29E4">
        <w:t xml:space="preserve"> a po rozpravě</w:t>
      </w:r>
    </w:p>
    <w:p w:rsidR="00D46ACA" w:rsidRDefault="00A93982" w:rsidP="00092A3F">
      <w:pPr>
        <w:pStyle w:val="PS-slovanseznam"/>
        <w:numPr>
          <w:ilvl w:val="0"/>
          <w:numId w:val="0"/>
        </w:numPr>
      </w:pPr>
      <w:r>
        <w:rPr>
          <w:rStyle w:val="proloenChar"/>
        </w:rPr>
        <w:tab/>
      </w:r>
      <w:r w:rsidRPr="00A93982">
        <w:rPr>
          <w:rStyle w:val="proloenChar"/>
          <w:b/>
        </w:rPr>
        <w:t>schvaluje</w:t>
      </w:r>
      <w:r w:rsidR="002B60B3">
        <w:t xml:space="preserve"> </w:t>
      </w:r>
      <w:r>
        <w:t>stanovisko, které je přílohou tohoto usnesení.</w:t>
      </w:r>
    </w:p>
    <w:p w:rsidR="00092A3F" w:rsidRDefault="00092A3F" w:rsidP="00092A3F">
      <w:pPr>
        <w:pStyle w:val="PS-slovanseznam"/>
        <w:numPr>
          <w:ilvl w:val="0"/>
          <w:numId w:val="0"/>
        </w:numPr>
      </w:pPr>
    </w:p>
    <w:p w:rsidR="00092A3F" w:rsidRDefault="00092A3F" w:rsidP="00092A3F">
      <w:pPr>
        <w:pStyle w:val="PS-slovanseznam"/>
        <w:numPr>
          <w:ilvl w:val="0"/>
          <w:numId w:val="0"/>
        </w:numPr>
      </w:pPr>
    </w:p>
    <w:p w:rsidR="00106842" w:rsidRPr="00106842" w:rsidRDefault="00106842" w:rsidP="00893C29">
      <w:pPr>
        <w:keepNext/>
        <w:tabs>
          <w:tab w:val="center" w:pos="1701"/>
          <w:tab w:val="center" w:pos="4536"/>
          <w:tab w:val="center" w:pos="7371"/>
        </w:tabs>
        <w:spacing w:before="1000" w:after="0" w:line="240" w:lineRule="auto"/>
        <w:rPr>
          <w:rFonts w:ascii="Times New Roman" w:hAnsi="Times New Roman"/>
          <w:sz w:val="24"/>
        </w:rPr>
      </w:pPr>
      <w:r w:rsidRPr="00106842">
        <w:rPr>
          <w:rFonts w:ascii="Times New Roman" w:hAnsi="Times New Roman"/>
          <w:sz w:val="24"/>
        </w:rPr>
        <w:tab/>
      </w:r>
      <w:r w:rsidR="003A0FC0">
        <w:rPr>
          <w:rFonts w:ascii="Times New Roman" w:hAnsi="Times New Roman"/>
          <w:sz w:val="24"/>
        </w:rPr>
        <w:t>Ondřej Veselý</w:t>
      </w:r>
      <w:r w:rsidR="00C20A0D">
        <w:rPr>
          <w:rFonts w:ascii="Times New Roman" w:hAnsi="Times New Roman"/>
          <w:sz w:val="24"/>
        </w:rPr>
        <w:t xml:space="preserve"> v. r.</w:t>
      </w:r>
      <w:r w:rsidRPr="00106842">
        <w:rPr>
          <w:rFonts w:ascii="Times New Roman" w:hAnsi="Times New Roman"/>
          <w:sz w:val="24"/>
        </w:rPr>
        <w:tab/>
        <w:t xml:space="preserve"> </w:t>
      </w:r>
      <w:r w:rsidR="007468D0">
        <w:rPr>
          <w:rFonts w:ascii="Times New Roman" w:hAnsi="Times New Roman"/>
          <w:sz w:val="24"/>
        </w:rPr>
        <w:tab/>
      </w:r>
      <w:r w:rsidR="00DF2AC4">
        <w:rPr>
          <w:rFonts w:ascii="Times New Roman" w:hAnsi="Times New Roman"/>
          <w:sz w:val="24"/>
        </w:rPr>
        <w:t>Lukáš Černohorský</w:t>
      </w:r>
      <w:r w:rsidR="007468D0">
        <w:rPr>
          <w:rFonts w:ascii="Times New Roman" w:hAnsi="Times New Roman"/>
          <w:sz w:val="24"/>
        </w:rPr>
        <w:t xml:space="preserve"> </w:t>
      </w:r>
      <w:r w:rsidR="00C20A0D">
        <w:rPr>
          <w:rFonts w:ascii="Times New Roman" w:hAnsi="Times New Roman"/>
          <w:sz w:val="24"/>
        </w:rPr>
        <w:t>v. r.</w:t>
      </w:r>
    </w:p>
    <w:p w:rsidR="00106842" w:rsidRPr="00106842" w:rsidRDefault="00106842" w:rsidP="00566A4C">
      <w:pPr>
        <w:keepNext/>
        <w:tabs>
          <w:tab w:val="center" w:pos="1701"/>
          <w:tab w:val="center" w:pos="4536"/>
          <w:tab w:val="center" w:pos="7371"/>
        </w:tabs>
        <w:spacing w:after="0" w:line="240" w:lineRule="auto"/>
        <w:rPr>
          <w:rFonts w:ascii="Times New Roman" w:hAnsi="Times New Roman"/>
          <w:sz w:val="24"/>
        </w:rPr>
      </w:pPr>
      <w:r w:rsidRPr="00106842">
        <w:rPr>
          <w:rFonts w:ascii="Times New Roman" w:hAnsi="Times New Roman"/>
          <w:sz w:val="24"/>
        </w:rPr>
        <w:tab/>
      </w:r>
      <w:r w:rsidR="00254049">
        <w:rPr>
          <w:rFonts w:ascii="Times New Roman" w:hAnsi="Times New Roman"/>
          <w:sz w:val="24"/>
        </w:rPr>
        <w:t>o</w:t>
      </w:r>
      <w:r w:rsidRPr="00106842">
        <w:rPr>
          <w:rFonts w:ascii="Times New Roman" w:hAnsi="Times New Roman"/>
          <w:sz w:val="24"/>
        </w:rPr>
        <w:t>věřovatel</w:t>
      </w:r>
      <w:r w:rsidRPr="00106842">
        <w:rPr>
          <w:rFonts w:ascii="Times New Roman" w:hAnsi="Times New Roman"/>
          <w:sz w:val="24"/>
        </w:rPr>
        <w:tab/>
      </w:r>
      <w:r w:rsidRPr="00106842">
        <w:rPr>
          <w:rFonts w:ascii="Times New Roman" w:hAnsi="Times New Roman"/>
          <w:sz w:val="24"/>
        </w:rPr>
        <w:tab/>
        <w:t>zpravodaj</w:t>
      </w:r>
    </w:p>
    <w:p w:rsidR="00106842" w:rsidRPr="00254049" w:rsidRDefault="00106842" w:rsidP="00106842">
      <w:pPr>
        <w:tabs>
          <w:tab w:val="center" w:pos="1701"/>
          <w:tab w:val="center" w:pos="4536"/>
          <w:tab w:val="center" w:pos="7371"/>
        </w:tabs>
        <w:spacing w:before="1000" w:after="0" w:line="240" w:lineRule="auto"/>
        <w:rPr>
          <w:rFonts w:ascii="Times New Roman" w:hAnsi="Times New Roman"/>
          <w:caps/>
          <w:sz w:val="24"/>
        </w:rPr>
      </w:pPr>
      <w:r w:rsidRPr="00106842">
        <w:rPr>
          <w:rFonts w:ascii="Times New Roman" w:hAnsi="Times New Roman"/>
          <w:sz w:val="24"/>
        </w:rPr>
        <w:tab/>
      </w:r>
      <w:r w:rsidRPr="00106842">
        <w:rPr>
          <w:rFonts w:ascii="Times New Roman" w:hAnsi="Times New Roman"/>
          <w:sz w:val="24"/>
        </w:rPr>
        <w:tab/>
      </w:r>
      <w:r w:rsidR="003A0FC0">
        <w:rPr>
          <w:rFonts w:ascii="Times New Roman" w:hAnsi="Times New Roman"/>
          <w:sz w:val="24"/>
        </w:rPr>
        <w:t>František Kopřiva</w:t>
      </w:r>
      <w:r w:rsidRPr="00106842">
        <w:rPr>
          <w:rFonts w:ascii="Times New Roman" w:hAnsi="Times New Roman"/>
          <w:sz w:val="24"/>
        </w:rPr>
        <w:t xml:space="preserve"> </w:t>
      </w:r>
      <w:r w:rsidR="00C20A0D">
        <w:rPr>
          <w:rFonts w:ascii="Times New Roman" w:hAnsi="Times New Roman"/>
          <w:sz w:val="24"/>
        </w:rPr>
        <w:t>v. r.</w:t>
      </w:r>
    </w:p>
    <w:p w:rsidR="00106842" w:rsidRDefault="00106842" w:rsidP="00106842">
      <w:pPr>
        <w:tabs>
          <w:tab w:val="center" w:pos="1701"/>
          <w:tab w:val="center" w:pos="4536"/>
          <w:tab w:val="center" w:pos="7371"/>
        </w:tabs>
        <w:spacing w:after="0" w:line="240" w:lineRule="auto"/>
        <w:rPr>
          <w:rFonts w:ascii="Times New Roman" w:hAnsi="Times New Roman"/>
          <w:sz w:val="24"/>
        </w:rPr>
      </w:pPr>
      <w:r w:rsidRPr="00106842">
        <w:rPr>
          <w:rFonts w:ascii="Times New Roman" w:hAnsi="Times New Roman"/>
          <w:sz w:val="24"/>
        </w:rPr>
        <w:tab/>
      </w:r>
      <w:r w:rsidRPr="00106842">
        <w:rPr>
          <w:rFonts w:ascii="Times New Roman" w:hAnsi="Times New Roman"/>
          <w:sz w:val="24"/>
        </w:rPr>
        <w:tab/>
      </w:r>
      <w:r w:rsidR="003A0FC0">
        <w:rPr>
          <w:rFonts w:ascii="Times New Roman" w:hAnsi="Times New Roman"/>
          <w:sz w:val="24"/>
        </w:rPr>
        <w:t>místo</w:t>
      </w:r>
      <w:r w:rsidR="00B715B6">
        <w:rPr>
          <w:rFonts w:ascii="Times New Roman" w:hAnsi="Times New Roman"/>
          <w:sz w:val="24"/>
        </w:rPr>
        <w:t>p</w:t>
      </w:r>
      <w:r w:rsidRPr="00106842">
        <w:rPr>
          <w:rFonts w:ascii="Times New Roman" w:hAnsi="Times New Roman"/>
          <w:sz w:val="24"/>
        </w:rPr>
        <w:t>ř</w:t>
      </w:r>
      <w:r w:rsidR="00FD7068">
        <w:rPr>
          <w:rFonts w:ascii="Times New Roman" w:hAnsi="Times New Roman"/>
          <w:sz w:val="24"/>
        </w:rPr>
        <w:t>e</w:t>
      </w:r>
      <w:r w:rsidRPr="00106842">
        <w:rPr>
          <w:rFonts w:ascii="Times New Roman" w:hAnsi="Times New Roman"/>
          <w:sz w:val="24"/>
        </w:rPr>
        <w:t>dseda</w:t>
      </w:r>
    </w:p>
    <w:p w:rsidR="00D066DF" w:rsidRDefault="00D066DF" w:rsidP="00D066DF">
      <w:pPr>
        <w:spacing w:after="0" w:line="240" w:lineRule="auto"/>
        <w:rPr>
          <w:rFonts w:ascii="Times New Roman" w:hAnsi="Times New Roman"/>
          <w:sz w:val="24"/>
        </w:rPr>
        <w:sectPr w:rsidR="00D066DF" w:rsidSect="000C5278">
          <w:footerReference w:type="default" r:id="rId7"/>
          <w:pgSz w:w="11906" w:h="16838"/>
          <w:pgMar w:top="1134" w:right="1418" w:bottom="1418" w:left="1418" w:header="709" w:footer="709" w:gutter="0"/>
          <w:cols w:space="708"/>
          <w:docGrid w:linePitch="360"/>
        </w:sectPr>
      </w:pPr>
    </w:p>
    <w:p w:rsidR="003A1DF9" w:rsidRDefault="003A1DF9" w:rsidP="00D066DF">
      <w:pPr>
        <w:spacing w:after="0" w:line="240" w:lineRule="auto"/>
        <w:rPr>
          <w:rFonts w:ascii="Times New Roman" w:hAnsi="Times New Roman"/>
          <w:sz w:val="24"/>
        </w:rPr>
      </w:pPr>
      <w:r>
        <w:rPr>
          <w:rFonts w:ascii="Times New Roman" w:hAnsi="Times New Roman"/>
          <w:sz w:val="24"/>
        </w:rPr>
        <w:lastRenderedPageBreak/>
        <w:t xml:space="preserve"> </w:t>
      </w:r>
      <w:r w:rsidR="00D066DF">
        <w:rPr>
          <w:rFonts w:ascii="Times New Roman" w:hAnsi="Times New Roman"/>
          <w:sz w:val="24"/>
        </w:rPr>
        <w:t xml:space="preserve">Příloha k usnesení č. </w:t>
      </w:r>
      <w:r w:rsidR="003A0FC0">
        <w:rPr>
          <w:rFonts w:ascii="Times New Roman" w:hAnsi="Times New Roman"/>
          <w:sz w:val="24"/>
        </w:rPr>
        <w:t>485</w:t>
      </w:r>
    </w:p>
    <w:p w:rsidR="00B4108A" w:rsidRDefault="00B4108A" w:rsidP="00D066DF">
      <w:pPr>
        <w:spacing w:after="0" w:line="240" w:lineRule="auto"/>
        <w:rPr>
          <w:rFonts w:ascii="Times New Roman" w:hAnsi="Times New Roman"/>
          <w:sz w:val="24"/>
        </w:rPr>
      </w:pPr>
    </w:p>
    <w:p w:rsidR="00092A3F" w:rsidRPr="00092A3F" w:rsidRDefault="00092A3F" w:rsidP="00092A3F">
      <w:pPr>
        <w:spacing w:after="0" w:line="240" w:lineRule="auto"/>
        <w:jc w:val="center"/>
        <w:rPr>
          <w:rFonts w:ascii="Times New Roman" w:hAnsi="Times New Roman"/>
          <w:b/>
          <w:sz w:val="28"/>
          <w:szCs w:val="28"/>
        </w:rPr>
      </w:pPr>
      <w:r w:rsidRPr="00092A3F">
        <w:rPr>
          <w:rFonts w:ascii="Times New Roman" w:hAnsi="Times New Roman"/>
          <w:b/>
          <w:sz w:val="28"/>
          <w:szCs w:val="28"/>
        </w:rPr>
        <w:t>Návrh nařízení Evropského parlamentu a Rady, kterým se mění nařízení (EU) č. 910/2014, pokud jde o</w:t>
      </w:r>
      <w:r w:rsidR="004101C6">
        <w:rPr>
          <w:rFonts w:ascii="Times New Roman" w:hAnsi="Times New Roman"/>
          <w:b/>
          <w:sz w:val="28"/>
          <w:szCs w:val="28"/>
        </w:rPr>
        <w:t xml:space="preserve"> zřízení</w:t>
      </w:r>
      <w:r w:rsidRPr="00092A3F">
        <w:rPr>
          <w:rFonts w:ascii="Times New Roman" w:hAnsi="Times New Roman"/>
          <w:b/>
          <w:sz w:val="28"/>
          <w:szCs w:val="28"/>
        </w:rPr>
        <w:t xml:space="preserve"> rámce pro evropskou digitální identitu</w:t>
      </w:r>
    </w:p>
    <w:p w:rsidR="00F655EF" w:rsidRDefault="00F655EF" w:rsidP="00092A3F">
      <w:pPr>
        <w:spacing w:after="0" w:line="240" w:lineRule="auto"/>
        <w:jc w:val="center"/>
        <w:rPr>
          <w:rFonts w:ascii="Times New Roman" w:hAnsi="Times New Roman"/>
          <w:b/>
          <w:sz w:val="24"/>
          <w:szCs w:val="24"/>
        </w:rPr>
      </w:pPr>
    </w:p>
    <w:p w:rsidR="00092A3F" w:rsidRPr="00092A3F" w:rsidRDefault="00F655EF" w:rsidP="00092A3F">
      <w:pPr>
        <w:spacing w:after="0" w:line="240" w:lineRule="auto"/>
        <w:jc w:val="center"/>
        <w:rPr>
          <w:rFonts w:ascii="Times New Roman" w:hAnsi="Times New Roman"/>
          <w:b/>
          <w:sz w:val="24"/>
          <w:szCs w:val="24"/>
        </w:rPr>
      </w:pPr>
      <w:r>
        <w:rPr>
          <w:rFonts w:ascii="Times New Roman" w:hAnsi="Times New Roman"/>
          <w:b/>
          <w:sz w:val="24"/>
          <w:szCs w:val="24"/>
        </w:rPr>
        <w:t>K</w:t>
      </w:r>
      <w:r w:rsidR="00092A3F" w:rsidRPr="00092A3F">
        <w:rPr>
          <w:rFonts w:ascii="Times New Roman" w:hAnsi="Times New Roman"/>
          <w:b/>
          <w:sz w:val="24"/>
          <w:szCs w:val="24"/>
        </w:rPr>
        <w:t xml:space="preserve">OM(2021) 281 </w:t>
      </w:r>
      <w:r>
        <w:rPr>
          <w:rFonts w:ascii="Times New Roman" w:hAnsi="Times New Roman"/>
          <w:b/>
          <w:sz w:val="24"/>
          <w:szCs w:val="24"/>
        </w:rPr>
        <w:t>v konečném znění</w:t>
      </w:r>
      <w:r w:rsidR="004101C6">
        <w:rPr>
          <w:rFonts w:ascii="Times New Roman" w:hAnsi="Times New Roman"/>
          <w:b/>
          <w:sz w:val="24"/>
          <w:szCs w:val="24"/>
        </w:rPr>
        <w:t xml:space="preserve">, kód Rady </w:t>
      </w:r>
      <w:r w:rsidR="00092A3F" w:rsidRPr="00092A3F">
        <w:rPr>
          <w:rFonts w:ascii="Times New Roman" w:hAnsi="Times New Roman"/>
          <w:b/>
          <w:sz w:val="24"/>
          <w:szCs w:val="24"/>
        </w:rPr>
        <w:t>9471/21</w:t>
      </w:r>
    </w:p>
    <w:p w:rsidR="00092A3F" w:rsidRPr="00092A3F" w:rsidRDefault="00092A3F" w:rsidP="00092A3F">
      <w:pPr>
        <w:spacing w:after="0" w:line="240" w:lineRule="auto"/>
        <w:jc w:val="center"/>
        <w:rPr>
          <w:rFonts w:ascii="Times New Roman" w:hAnsi="Times New Roman"/>
          <w:b/>
          <w:sz w:val="24"/>
          <w:szCs w:val="24"/>
        </w:rPr>
      </w:pPr>
      <w:r w:rsidRPr="00092A3F">
        <w:rPr>
          <w:rFonts w:ascii="Times New Roman" w:hAnsi="Times New Roman"/>
          <w:b/>
          <w:sz w:val="24"/>
          <w:szCs w:val="24"/>
        </w:rPr>
        <w:t>Interinstitucionální spis 2021/0136/COD</w:t>
      </w:r>
    </w:p>
    <w:p w:rsidR="00092A3F" w:rsidRPr="00092A3F" w:rsidRDefault="00092A3F" w:rsidP="00092A3F">
      <w:pPr>
        <w:spacing w:after="0" w:line="240" w:lineRule="auto"/>
        <w:jc w:val="both"/>
        <w:rPr>
          <w:rFonts w:ascii="Times New Roman" w:eastAsia="Times New Roman" w:hAnsi="Times New Roman"/>
          <w:caps/>
          <w:sz w:val="24"/>
          <w:szCs w:val="24"/>
          <w:lang w:eastAsia="cs-CZ"/>
        </w:rPr>
      </w:pPr>
    </w:p>
    <w:p w:rsidR="00092A3F" w:rsidRPr="00092A3F" w:rsidRDefault="00092A3F" w:rsidP="00092A3F">
      <w:pPr>
        <w:spacing w:after="0" w:line="240" w:lineRule="auto"/>
        <w:jc w:val="both"/>
        <w:rPr>
          <w:rFonts w:ascii="Times New Roman" w:eastAsia="Times New Roman" w:hAnsi="Times New Roman"/>
          <w:b/>
          <w:bCs/>
          <w:sz w:val="24"/>
          <w:szCs w:val="24"/>
          <w:lang w:eastAsia="cs-CZ"/>
        </w:rPr>
      </w:pPr>
    </w:p>
    <w:p w:rsidR="00092A3F" w:rsidRPr="00092A3F" w:rsidRDefault="00092A3F" w:rsidP="00092A3F">
      <w:pPr>
        <w:keepNext/>
        <w:keepLines/>
        <w:numPr>
          <w:ilvl w:val="0"/>
          <w:numId w:val="17"/>
        </w:numPr>
        <w:suppressAutoHyphens/>
        <w:autoSpaceDN w:val="0"/>
        <w:spacing w:after="0" w:line="254" w:lineRule="auto"/>
        <w:ind w:left="0"/>
        <w:jc w:val="both"/>
        <w:textAlignment w:val="baseline"/>
        <w:rPr>
          <w:rFonts w:ascii="Times New Roman" w:hAnsi="Times New Roman"/>
          <w:b/>
          <w:sz w:val="24"/>
          <w:szCs w:val="24"/>
        </w:rPr>
      </w:pPr>
      <w:bookmarkStart w:id="0" w:name="_Toc445380604"/>
      <w:r w:rsidRPr="00092A3F">
        <w:rPr>
          <w:rFonts w:ascii="Times New Roman" w:hAnsi="Times New Roman"/>
          <w:b/>
          <w:sz w:val="24"/>
          <w:szCs w:val="24"/>
        </w:rPr>
        <w:t>Právní základ:</w:t>
      </w:r>
      <w:bookmarkEnd w:id="0"/>
    </w:p>
    <w:p w:rsidR="00092A3F" w:rsidRPr="00092A3F" w:rsidRDefault="00092A3F" w:rsidP="00092A3F">
      <w:pPr>
        <w:spacing w:after="0" w:line="240" w:lineRule="auto"/>
        <w:jc w:val="both"/>
        <w:rPr>
          <w:rFonts w:ascii="Times New Roman" w:hAnsi="Times New Roman"/>
          <w:sz w:val="24"/>
          <w:szCs w:val="24"/>
        </w:rPr>
      </w:pPr>
      <w:r w:rsidRPr="00092A3F">
        <w:rPr>
          <w:rFonts w:ascii="Times New Roman" w:hAnsi="Times New Roman"/>
          <w:sz w:val="24"/>
          <w:szCs w:val="24"/>
        </w:rPr>
        <w:t>Článek 114 Smlouvy o fungování Evropské unie (dále jen „</w:t>
      </w:r>
      <w:r w:rsidRPr="00092A3F">
        <w:rPr>
          <w:rFonts w:ascii="Times New Roman" w:hAnsi="Times New Roman"/>
          <w:b/>
          <w:sz w:val="24"/>
          <w:szCs w:val="24"/>
        </w:rPr>
        <w:t>SFEU</w:t>
      </w:r>
      <w:r w:rsidRPr="00092A3F">
        <w:rPr>
          <w:rFonts w:ascii="Times New Roman" w:hAnsi="Times New Roman"/>
          <w:sz w:val="24"/>
          <w:szCs w:val="24"/>
        </w:rPr>
        <w:t>“).</w:t>
      </w:r>
    </w:p>
    <w:p w:rsidR="00092A3F" w:rsidRPr="00092A3F" w:rsidRDefault="00092A3F" w:rsidP="00092A3F">
      <w:pPr>
        <w:spacing w:after="0" w:line="240" w:lineRule="auto"/>
        <w:jc w:val="both"/>
        <w:rPr>
          <w:rFonts w:ascii="Times New Roman" w:hAnsi="Times New Roman"/>
          <w:sz w:val="24"/>
          <w:szCs w:val="24"/>
        </w:rPr>
      </w:pPr>
    </w:p>
    <w:p w:rsidR="00092A3F" w:rsidRPr="00092A3F" w:rsidRDefault="00092A3F" w:rsidP="00092A3F">
      <w:pPr>
        <w:spacing w:after="0" w:line="240" w:lineRule="auto"/>
        <w:jc w:val="both"/>
        <w:rPr>
          <w:rFonts w:ascii="Times New Roman" w:hAnsi="Times New Roman"/>
          <w:sz w:val="24"/>
          <w:szCs w:val="24"/>
        </w:rPr>
      </w:pPr>
      <w:r w:rsidRPr="00092A3F">
        <w:rPr>
          <w:rFonts w:ascii="Times New Roman" w:hAnsi="Times New Roman"/>
          <w:sz w:val="24"/>
          <w:szCs w:val="24"/>
        </w:rPr>
        <w:t>Článek 114 SFEU představuje obecný právní základ pro přijímání unijních předpisů sledujících vytvoření a fungování vnitřního trhu.</w:t>
      </w:r>
    </w:p>
    <w:p w:rsidR="00092A3F" w:rsidRPr="00092A3F" w:rsidRDefault="00092A3F" w:rsidP="00092A3F">
      <w:pPr>
        <w:spacing w:after="0" w:line="240" w:lineRule="auto"/>
        <w:jc w:val="both"/>
        <w:rPr>
          <w:rFonts w:ascii="Times New Roman" w:hAnsi="Times New Roman"/>
          <w:sz w:val="24"/>
          <w:szCs w:val="24"/>
        </w:rPr>
      </w:pPr>
    </w:p>
    <w:p w:rsidR="00092A3F" w:rsidRPr="00092A3F" w:rsidRDefault="00092A3F" w:rsidP="00092A3F">
      <w:pPr>
        <w:keepNext/>
        <w:keepLines/>
        <w:numPr>
          <w:ilvl w:val="0"/>
          <w:numId w:val="17"/>
        </w:numPr>
        <w:suppressAutoHyphens/>
        <w:autoSpaceDN w:val="0"/>
        <w:spacing w:after="0" w:line="254" w:lineRule="auto"/>
        <w:ind w:left="0"/>
        <w:jc w:val="both"/>
        <w:textAlignment w:val="baseline"/>
        <w:rPr>
          <w:rFonts w:ascii="Times New Roman" w:hAnsi="Times New Roman"/>
          <w:b/>
          <w:sz w:val="24"/>
          <w:szCs w:val="24"/>
        </w:rPr>
      </w:pPr>
      <w:bookmarkStart w:id="1" w:name="_Toc445380605"/>
      <w:r w:rsidRPr="00092A3F">
        <w:rPr>
          <w:rFonts w:ascii="Times New Roman" w:hAnsi="Times New Roman"/>
          <w:b/>
          <w:sz w:val="24"/>
          <w:szCs w:val="24"/>
        </w:rPr>
        <w:t>Datum zaslání Poslanecké sněmovně prostřednictvím VEZ:</w:t>
      </w:r>
      <w:bookmarkEnd w:id="1"/>
    </w:p>
    <w:p w:rsidR="00092A3F" w:rsidRPr="00092A3F" w:rsidRDefault="00092A3F" w:rsidP="00092A3F">
      <w:pPr>
        <w:spacing w:after="0" w:line="240" w:lineRule="auto"/>
        <w:jc w:val="both"/>
        <w:rPr>
          <w:rFonts w:ascii="Times New Roman" w:hAnsi="Times New Roman"/>
          <w:sz w:val="24"/>
          <w:szCs w:val="24"/>
        </w:rPr>
      </w:pPr>
      <w:r w:rsidRPr="00092A3F">
        <w:rPr>
          <w:rFonts w:ascii="Times New Roman" w:hAnsi="Times New Roman"/>
          <w:sz w:val="24"/>
          <w:szCs w:val="24"/>
        </w:rPr>
        <w:t>3. 6. 2021</w:t>
      </w:r>
    </w:p>
    <w:p w:rsidR="00092A3F" w:rsidRPr="00092A3F" w:rsidRDefault="00092A3F" w:rsidP="00092A3F">
      <w:pPr>
        <w:spacing w:after="0" w:line="240" w:lineRule="auto"/>
        <w:jc w:val="both"/>
        <w:rPr>
          <w:rFonts w:ascii="Times New Roman" w:hAnsi="Times New Roman"/>
          <w:sz w:val="24"/>
          <w:szCs w:val="24"/>
        </w:rPr>
      </w:pPr>
    </w:p>
    <w:p w:rsidR="00092A3F" w:rsidRPr="00092A3F" w:rsidRDefault="00092A3F" w:rsidP="00092A3F">
      <w:pPr>
        <w:keepNext/>
        <w:keepLines/>
        <w:numPr>
          <w:ilvl w:val="0"/>
          <w:numId w:val="17"/>
        </w:numPr>
        <w:suppressAutoHyphens/>
        <w:autoSpaceDN w:val="0"/>
        <w:spacing w:after="0" w:line="254" w:lineRule="auto"/>
        <w:ind w:left="0"/>
        <w:jc w:val="both"/>
        <w:textAlignment w:val="baseline"/>
        <w:rPr>
          <w:rFonts w:ascii="Times New Roman" w:hAnsi="Times New Roman"/>
          <w:b/>
          <w:sz w:val="24"/>
          <w:szCs w:val="24"/>
        </w:rPr>
      </w:pPr>
      <w:bookmarkStart w:id="2" w:name="_Toc445380606"/>
      <w:r w:rsidRPr="00092A3F">
        <w:rPr>
          <w:rFonts w:ascii="Times New Roman" w:hAnsi="Times New Roman"/>
          <w:b/>
          <w:sz w:val="24"/>
          <w:szCs w:val="24"/>
        </w:rPr>
        <w:t>Datum projednání ve VEZ:</w:t>
      </w:r>
      <w:bookmarkEnd w:id="2"/>
    </w:p>
    <w:p w:rsidR="00092A3F" w:rsidRPr="00092A3F" w:rsidRDefault="00092A3F" w:rsidP="00092A3F">
      <w:pPr>
        <w:spacing w:after="0" w:line="240" w:lineRule="auto"/>
        <w:jc w:val="both"/>
        <w:rPr>
          <w:rFonts w:ascii="Times New Roman" w:hAnsi="Times New Roman"/>
          <w:sz w:val="24"/>
          <w:szCs w:val="24"/>
        </w:rPr>
      </w:pPr>
      <w:r w:rsidRPr="00092A3F">
        <w:rPr>
          <w:rFonts w:ascii="Times New Roman" w:hAnsi="Times New Roman"/>
          <w:sz w:val="24"/>
          <w:szCs w:val="24"/>
        </w:rPr>
        <w:t>23. 6. 2021 (1. kolo)</w:t>
      </w:r>
    </w:p>
    <w:p w:rsidR="00092A3F" w:rsidRPr="00092A3F" w:rsidRDefault="00092A3F" w:rsidP="00092A3F">
      <w:pPr>
        <w:spacing w:after="0" w:line="240" w:lineRule="auto"/>
        <w:jc w:val="both"/>
        <w:rPr>
          <w:rFonts w:ascii="Times New Roman" w:hAnsi="Times New Roman"/>
          <w:sz w:val="24"/>
          <w:szCs w:val="24"/>
        </w:rPr>
      </w:pPr>
    </w:p>
    <w:p w:rsidR="00092A3F" w:rsidRPr="00092A3F" w:rsidRDefault="00092A3F" w:rsidP="00092A3F">
      <w:pPr>
        <w:keepNext/>
        <w:keepLines/>
        <w:numPr>
          <w:ilvl w:val="0"/>
          <w:numId w:val="17"/>
        </w:numPr>
        <w:suppressAutoHyphens/>
        <w:autoSpaceDN w:val="0"/>
        <w:spacing w:after="0" w:line="254" w:lineRule="auto"/>
        <w:ind w:left="0"/>
        <w:jc w:val="both"/>
        <w:textAlignment w:val="baseline"/>
        <w:rPr>
          <w:rFonts w:ascii="Times New Roman" w:hAnsi="Times New Roman"/>
          <w:b/>
          <w:sz w:val="24"/>
          <w:szCs w:val="24"/>
        </w:rPr>
      </w:pPr>
      <w:bookmarkStart w:id="3" w:name="_Toc445380607"/>
      <w:r w:rsidRPr="00092A3F">
        <w:rPr>
          <w:rFonts w:ascii="Times New Roman" w:hAnsi="Times New Roman"/>
          <w:b/>
          <w:sz w:val="24"/>
          <w:szCs w:val="24"/>
        </w:rPr>
        <w:t>Procedura:</w:t>
      </w:r>
      <w:bookmarkEnd w:id="3"/>
    </w:p>
    <w:p w:rsidR="00092A3F" w:rsidRPr="00092A3F" w:rsidRDefault="00092A3F" w:rsidP="00092A3F">
      <w:pPr>
        <w:spacing w:after="0" w:line="240" w:lineRule="auto"/>
        <w:jc w:val="both"/>
        <w:rPr>
          <w:rFonts w:ascii="Times New Roman" w:hAnsi="Times New Roman"/>
          <w:sz w:val="24"/>
          <w:szCs w:val="24"/>
        </w:rPr>
      </w:pPr>
      <w:r w:rsidRPr="00092A3F">
        <w:rPr>
          <w:rFonts w:ascii="Times New Roman" w:hAnsi="Times New Roman"/>
          <w:sz w:val="24"/>
          <w:szCs w:val="24"/>
        </w:rPr>
        <w:t>Řádný legislativní postup.</w:t>
      </w:r>
    </w:p>
    <w:p w:rsidR="00092A3F" w:rsidRPr="00092A3F" w:rsidRDefault="00092A3F" w:rsidP="00092A3F">
      <w:pPr>
        <w:spacing w:after="0" w:line="240" w:lineRule="auto"/>
        <w:jc w:val="both"/>
        <w:rPr>
          <w:rFonts w:ascii="Times New Roman" w:hAnsi="Times New Roman"/>
          <w:sz w:val="24"/>
          <w:szCs w:val="24"/>
        </w:rPr>
      </w:pPr>
    </w:p>
    <w:p w:rsidR="00092A3F" w:rsidRPr="00092A3F" w:rsidRDefault="00092A3F" w:rsidP="00092A3F">
      <w:pPr>
        <w:keepNext/>
        <w:keepLines/>
        <w:numPr>
          <w:ilvl w:val="0"/>
          <w:numId w:val="17"/>
        </w:numPr>
        <w:suppressAutoHyphens/>
        <w:autoSpaceDN w:val="0"/>
        <w:spacing w:after="0" w:line="254" w:lineRule="auto"/>
        <w:ind w:left="0"/>
        <w:jc w:val="both"/>
        <w:textAlignment w:val="baseline"/>
        <w:rPr>
          <w:rFonts w:ascii="Times New Roman" w:hAnsi="Times New Roman"/>
          <w:b/>
          <w:sz w:val="24"/>
          <w:szCs w:val="24"/>
        </w:rPr>
      </w:pPr>
      <w:bookmarkStart w:id="4" w:name="_Toc445380608"/>
      <w:r w:rsidRPr="00092A3F">
        <w:rPr>
          <w:rFonts w:ascii="Times New Roman" w:hAnsi="Times New Roman"/>
          <w:b/>
          <w:sz w:val="24"/>
          <w:szCs w:val="24"/>
        </w:rPr>
        <w:t>Předběžné stanovisko vlády (dle § 109a odst. 1 jednacího řádu PS):</w:t>
      </w:r>
      <w:bookmarkEnd w:id="4"/>
    </w:p>
    <w:p w:rsidR="00092A3F" w:rsidRPr="00092A3F" w:rsidRDefault="00092A3F" w:rsidP="00092A3F">
      <w:pPr>
        <w:spacing w:after="0" w:line="240" w:lineRule="auto"/>
        <w:jc w:val="both"/>
        <w:rPr>
          <w:rFonts w:ascii="Times New Roman" w:hAnsi="Times New Roman"/>
          <w:sz w:val="24"/>
          <w:szCs w:val="24"/>
        </w:rPr>
      </w:pPr>
      <w:r w:rsidRPr="00092A3F">
        <w:rPr>
          <w:rFonts w:ascii="Times New Roman" w:hAnsi="Times New Roman"/>
          <w:sz w:val="24"/>
          <w:szCs w:val="24"/>
        </w:rPr>
        <w:t>Datované dnem 17. června 2021, doručené do výboru pro evropské záležitosti dne 25. června 2021 prostřednictvím systému ISAP.</w:t>
      </w:r>
    </w:p>
    <w:p w:rsidR="00092A3F" w:rsidRPr="00092A3F" w:rsidRDefault="00092A3F" w:rsidP="00092A3F">
      <w:pPr>
        <w:spacing w:after="0" w:line="240" w:lineRule="auto"/>
        <w:jc w:val="both"/>
        <w:rPr>
          <w:rFonts w:ascii="Times New Roman" w:hAnsi="Times New Roman"/>
          <w:sz w:val="24"/>
          <w:szCs w:val="24"/>
        </w:rPr>
      </w:pPr>
    </w:p>
    <w:p w:rsidR="00092A3F" w:rsidRPr="00F655EF" w:rsidRDefault="00092A3F" w:rsidP="00F655EF">
      <w:pPr>
        <w:pStyle w:val="Odstavecseseznamem"/>
        <w:numPr>
          <w:ilvl w:val="0"/>
          <w:numId w:val="17"/>
        </w:numPr>
        <w:spacing w:after="0" w:line="240" w:lineRule="auto"/>
        <w:ind w:left="0"/>
        <w:outlineLvl w:val="0"/>
        <w:rPr>
          <w:rFonts w:ascii="Times New Roman" w:eastAsia="Times New Roman" w:hAnsi="Times New Roman"/>
          <w:b/>
          <w:sz w:val="24"/>
          <w:szCs w:val="24"/>
          <w:lang w:eastAsia="cs-CZ"/>
        </w:rPr>
      </w:pPr>
      <w:bookmarkStart w:id="5" w:name="_Toc445380609"/>
      <w:bookmarkStart w:id="6" w:name="_Toc448302188"/>
      <w:r w:rsidRPr="00F655EF">
        <w:rPr>
          <w:rFonts w:ascii="Times New Roman" w:eastAsia="Times New Roman" w:hAnsi="Times New Roman"/>
          <w:b/>
          <w:sz w:val="24"/>
          <w:szCs w:val="24"/>
          <w:lang w:eastAsia="cs-CZ"/>
        </w:rPr>
        <w:t>Hodnocení z hlediska principu</w:t>
      </w:r>
      <w:r w:rsidRPr="00F655EF">
        <w:rPr>
          <w:rFonts w:ascii="Times New Roman" w:eastAsia="Times New Roman" w:hAnsi="Times New Roman"/>
          <w:sz w:val="24"/>
          <w:szCs w:val="24"/>
          <w:lang w:eastAsia="cs-CZ"/>
        </w:rPr>
        <w:t xml:space="preserve"> </w:t>
      </w:r>
      <w:r w:rsidRPr="00F655EF">
        <w:rPr>
          <w:rFonts w:ascii="Times New Roman" w:eastAsia="Times New Roman" w:hAnsi="Times New Roman"/>
          <w:b/>
          <w:sz w:val="24"/>
          <w:szCs w:val="24"/>
          <w:lang w:eastAsia="cs-CZ"/>
        </w:rPr>
        <w:t>subsidiarity:</w:t>
      </w:r>
      <w:bookmarkEnd w:id="5"/>
      <w:bookmarkEnd w:id="6"/>
    </w:p>
    <w:p w:rsidR="00092A3F" w:rsidRPr="003A0FC0" w:rsidRDefault="003A0FC0" w:rsidP="00092A3F">
      <w:pPr>
        <w:spacing w:after="0" w:line="240" w:lineRule="auto"/>
        <w:jc w:val="both"/>
        <w:rPr>
          <w:rFonts w:ascii="Times New Roman" w:hAnsi="Times New Roman"/>
          <w:sz w:val="24"/>
          <w:szCs w:val="24"/>
        </w:rPr>
      </w:pPr>
      <w:r>
        <w:rPr>
          <w:rFonts w:ascii="Times New Roman" w:hAnsi="Times New Roman"/>
          <w:sz w:val="24"/>
          <w:szCs w:val="24"/>
        </w:rPr>
        <w:t>Návrh je v souladu s principem subsidiarity.</w:t>
      </w:r>
    </w:p>
    <w:p w:rsidR="00092A3F" w:rsidRPr="00092A3F" w:rsidRDefault="00092A3F" w:rsidP="00092A3F">
      <w:pPr>
        <w:spacing w:after="0" w:line="240" w:lineRule="auto"/>
        <w:jc w:val="both"/>
        <w:rPr>
          <w:rFonts w:ascii="Times New Roman" w:hAnsi="Times New Roman"/>
          <w:sz w:val="24"/>
          <w:szCs w:val="24"/>
        </w:rPr>
      </w:pPr>
    </w:p>
    <w:p w:rsidR="00092A3F" w:rsidRPr="00092A3F" w:rsidRDefault="00092A3F" w:rsidP="00092A3F">
      <w:pPr>
        <w:spacing w:after="0" w:line="240" w:lineRule="auto"/>
        <w:ind w:hanging="360"/>
        <w:outlineLvl w:val="0"/>
        <w:rPr>
          <w:rFonts w:ascii="Times New Roman" w:eastAsia="Times New Roman" w:hAnsi="Times New Roman"/>
          <w:b/>
          <w:sz w:val="24"/>
          <w:szCs w:val="24"/>
          <w:lang w:eastAsia="cs-CZ"/>
        </w:rPr>
      </w:pPr>
      <w:bookmarkStart w:id="7" w:name="_Toc445380610"/>
      <w:bookmarkStart w:id="8" w:name="_Toc448302189"/>
      <w:r w:rsidRPr="00092A3F">
        <w:rPr>
          <w:rFonts w:ascii="Times New Roman" w:eastAsia="Times New Roman" w:hAnsi="Times New Roman"/>
          <w:b/>
          <w:sz w:val="24"/>
          <w:szCs w:val="24"/>
          <w:lang w:eastAsia="cs-CZ"/>
        </w:rPr>
        <w:t>Odůvodnění a předmět:</w:t>
      </w:r>
      <w:bookmarkEnd w:id="7"/>
      <w:bookmarkEnd w:id="8"/>
    </w:p>
    <w:tbl>
      <w:tblPr>
        <w:tblStyle w:val="Mkatabulky"/>
        <w:tblW w:w="0" w:type="auto"/>
        <w:shd w:val="clear" w:color="auto" w:fill="E7E6E6" w:themeFill="background2"/>
        <w:tblLook w:val="04A0" w:firstRow="1" w:lastRow="0" w:firstColumn="1" w:lastColumn="0" w:noHBand="0" w:noVBand="1"/>
      </w:tblPr>
      <w:tblGrid>
        <w:gridCol w:w="9286"/>
      </w:tblGrid>
      <w:tr w:rsidR="00092A3F" w:rsidRPr="00092A3F" w:rsidTr="00FB42D9">
        <w:tc>
          <w:tcPr>
            <w:tcW w:w="9344" w:type="dxa"/>
            <w:shd w:val="clear" w:color="auto" w:fill="E7E6E6" w:themeFill="background2"/>
          </w:tcPr>
          <w:p w:rsidR="00092A3F" w:rsidRPr="00092A3F" w:rsidRDefault="00C20A0D" w:rsidP="00092A3F">
            <w:pPr>
              <w:spacing w:after="120" w:line="240" w:lineRule="auto"/>
              <w:jc w:val="both"/>
              <w:rPr>
                <w:rFonts w:eastAsia="Calibri"/>
                <w:sz w:val="24"/>
                <w:szCs w:val="24"/>
              </w:rPr>
            </w:pPr>
            <w:hyperlink r:id="rId8" w:history="1">
              <w:r w:rsidR="00092A3F" w:rsidRPr="00092A3F">
                <w:rPr>
                  <w:rFonts w:eastAsia="Calibri"/>
                  <w:color w:val="0000FF"/>
                  <w:sz w:val="24"/>
                  <w:szCs w:val="24"/>
                  <w:u w:val="single"/>
                </w:rPr>
                <w:t>Návrh nařízení Evropského parlamentu a Rady, kterým se mění nařízení (EU) č.</w:t>
              </w:r>
              <w:r w:rsidR="00CB4BFF">
                <w:rPr>
                  <w:rFonts w:eastAsia="Calibri"/>
                  <w:color w:val="0000FF"/>
                  <w:sz w:val="24"/>
                  <w:szCs w:val="24"/>
                  <w:u w:val="single"/>
                </w:rPr>
                <w:t xml:space="preserve"> 910/2014, pokud jde o zřízení</w:t>
              </w:r>
              <w:r w:rsidR="00092A3F" w:rsidRPr="00092A3F">
                <w:rPr>
                  <w:rFonts w:eastAsia="Calibri"/>
                  <w:color w:val="0000FF"/>
                  <w:sz w:val="24"/>
                  <w:szCs w:val="24"/>
                  <w:u w:val="single"/>
                </w:rPr>
                <w:t xml:space="preserve"> rámce pro evropskou digitální identitu</w:t>
              </w:r>
            </w:hyperlink>
            <w:r w:rsidR="00092A3F" w:rsidRPr="00092A3F">
              <w:rPr>
                <w:rFonts w:eastAsia="Calibri"/>
                <w:sz w:val="24"/>
                <w:szCs w:val="24"/>
              </w:rPr>
              <w:t xml:space="preserve"> (dále též „</w:t>
            </w:r>
            <w:r w:rsidR="00092A3F" w:rsidRPr="00092A3F">
              <w:rPr>
                <w:rFonts w:eastAsia="Calibri"/>
                <w:b/>
                <w:sz w:val="24"/>
                <w:szCs w:val="24"/>
              </w:rPr>
              <w:t>návrh</w:t>
            </w:r>
            <w:r w:rsidR="00092A3F" w:rsidRPr="00092A3F">
              <w:rPr>
                <w:rFonts w:eastAsia="Calibri"/>
                <w:sz w:val="24"/>
                <w:szCs w:val="24"/>
              </w:rPr>
              <w:t>“) představuje podstatnou revizi unijního právního rámce pro digitální identitu zakotveného v </w:t>
            </w:r>
            <w:hyperlink r:id="rId9" w:history="1">
              <w:r w:rsidR="00092A3F" w:rsidRPr="00092A3F">
                <w:rPr>
                  <w:rFonts w:eastAsia="Calibri"/>
                  <w:color w:val="0000FF"/>
                  <w:sz w:val="24"/>
                  <w:szCs w:val="24"/>
                  <w:u w:val="single"/>
                </w:rPr>
                <w:t>nařízení (EU) č. 910/2014</w:t>
              </w:r>
            </w:hyperlink>
            <w:r w:rsidR="00092A3F" w:rsidRPr="00092A3F">
              <w:rPr>
                <w:rFonts w:eastAsia="Calibri"/>
                <w:sz w:val="24"/>
                <w:szCs w:val="24"/>
              </w:rPr>
              <w:t xml:space="preserve"> (dále též „</w:t>
            </w:r>
            <w:r w:rsidR="00092A3F" w:rsidRPr="00092A3F">
              <w:rPr>
                <w:rFonts w:eastAsia="Calibri"/>
                <w:b/>
                <w:sz w:val="24"/>
                <w:szCs w:val="24"/>
              </w:rPr>
              <w:t>nařízení eIDAS</w:t>
            </w:r>
            <w:r w:rsidR="00092A3F" w:rsidRPr="00092A3F">
              <w:rPr>
                <w:rFonts w:eastAsia="Calibri"/>
                <w:sz w:val="24"/>
                <w:szCs w:val="24"/>
              </w:rPr>
              <w:t>“). Nařízení eIDAS má být obecně modernizováno a přizpůsobeno dalším unijním předpisům. Mají být rovněž do jisté míry revidována pravidla uplatňování tohoto nařízení. Mezi dva hlavní okruhy změn ovšem patří (1.) zavedení institutu evropské peněženky digitální identity, která by měla všem občanům EU poskytnout prostředek elektronického ověření vlastní identity a dalších údajů o vlastní osobě ve styku s veřejným i soukromým sektorem, a (2.) rozšíření okruhu služeb vytvářejících důvěru o (i.) správu prostředků pro vytváření elektronických podpisů (pečetí) na dálku, (ii.) elektronické potvrzování atributů, (iii.) služby elektronické archivace a (iv.) elektronické účetní knihy.</w:t>
            </w:r>
          </w:p>
        </w:tc>
      </w:tr>
    </w:tbl>
    <w:p w:rsidR="00092A3F" w:rsidRPr="00092A3F" w:rsidRDefault="00092A3F" w:rsidP="00092A3F">
      <w:pPr>
        <w:spacing w:before="120" w:after="120" w:line="240" w:lineRule="auto"/>
        <w:jc w:val="both"/>
        <w:rPr>
          <w:rFonts w:ascii="Times New Roman" w:hAnsi="Times New Roman"/>
          <w:sz w:val="24"/>
          <w:szCs w:val="24"/>
        </w:rPr>
      </w:pPr>
      <w:r w:rsidRPr="00092A3F">
        <w:rPr>
          <w:rFonts w:ascii="Times New Roman" w:hAnsi="Times New Roman"/>
          <w:sz w:val="24"/>
          <w:szCs w:val="24"/>
        </w:rPr>
        <w:t xml:space="preserve">EU sdílí s členskými státy pravomoc v oblasti vnitřního trhu (čl. 4 odst. 2 písm. a) SFEU). Za účelem jeho vytvoření a fungování může přijímat legislativní akty ke sbližování právních předpisů členských států (čl. 114 SFEU). Jednotný digitální trh je pak souvisejícím souborem politik a opatření reagujících na postupující digitalizaci evropské ekonomiky. Jedním z cílů </w:t>
      </w:r>
      <w:r w:rsidRPr="00092A3F">
        <w:rPr>
          <w:rFonts w:ascii="Times New Roman" w:hAnsi="Times New Roman"/>
          <w:sz w:val="24"/>
          <w:szCs w:val="24"/>
        </w:rPr>
        <w:lastRenderedPageBreak/>
        <w:t xml:space="preserve">vytyčených Komisí na tomto poli ve sdělení </w:t>
      </w:r>
      <w:hyperlink r:id="rId10" w:history="1">
        <w:r w:rsidRPr="00092A3F">
          <w:rPr>
            <w:rFonts w:ascii="Times New Roman" w:hAnsi="Times New Roman"/>
            <w:color w:val="0000FF"/>
            <w:sz w:val="24"/>
            <w:szCs w:val="24"/>
            <w:u w:val="single"/>
          </w:rPr>
          <w:t>Digitální kompas 2030: Evropské pojetí digitální dekády</w:t>
        </w:r>
      </w:hyperlink>
      <w:r w:rsidRPr="00092A3F">
        <w:rPr>
          <w:rFonts w:ascii="Times New Roman" w:hAnsi="Times New Roman"/>
          <w:sz w:val="24"/>
          <w:szCs w:val="24"/>
        </w:rPr>
        <w:t xml:space="preserve"> je, aby do roku 2030 využívalo 80 % občanů EU řešení v oblasti digitální identity.</w:t>
      </w:r>
    </w:p>
    <w:p w:rsidR="00092A3F" w:rsidRPr="00092A3F" w:rsidRDefault="00092A3F" w:rsidP="00092A3F">
      <w:pPr>
        <w:spacing w:before="120" w:after="120" w:line="240" w:lineRule="auto"/>
        <w:jc w:val="both"/>
        <w:rPr>
          <w:rFonts w:ascii="Times New Roman" w:hAnsi="Times New Roman"/>
          <w:sz w:val="24"/>
          <w:szCs w:val="24"/>
        </w:rPr>
      </w:pPr>
      <w:r w:rsidRPr="00092A3F">
        <w:rPr>
          <w:rFonts w:ascii="Times New Roman" w:hAnsi="Times New Roman"/>
          <w:sz w:val="24"/>
          <w:szCs w:val="24"/>
        </w:rPr>
        <w:t xml:space="preserve">Podle </w:t>
      </w:r>
      <w:hyperlink r:id="rId11" w:history="1">
        <w:r w:rsidRPr="00092A3F">
          <w:rPr>
            <w:rFonts w:ascii="Times New Roman" w:hAnsi="Times New Roman"/>
            <w:color w:val="0000FF"/>
            <w:sz w:val="24"/>
            <w:szCs w:val="24"/>
            <w:u w:val="single"/>
          </w:rPr>
          <w:t>zprávy Komise o hodnocení nařízení eIDAS</w:t>
        </w:r>
      </w:hyperlink>
      <w:r w:rsidRPr="00092A3F">
        <w:rPr>
          <w:rFonts w:ascii="Times New Roman" w:hAnsi="Times New Roman"/>
          <w:sz w:val="24"/>
          <w:szCs w:val="24"/>
        </w:rPr>
        <w:t xml:space="preserve"> v současnosti využívá režimy elektronické identifikace 59 % Evropanů. Na základě výše uvedené zprávy Komise přistoupila k předložení návrhu na novelizaci nařízení eIDAS, která by měla zlepšit přístup občanů k elektronické identifikaci, zvýšit její využitelnost i ve styku se soukromým sektorem, rozšířit okruh možností nabízených evropských rámcem digitální identity a v obecné rovině modernizovat stávající úpravu.</w:t>
      </w:r>
    </w:p>
    <w:p w:rsidR="00092A3F" w:rsidRPr="00092A3F" w:rsidRDefault="00092A3F" w:rsidP="00092A3F">
      <w:pPr>
        <w:spacing w:after="120" w:line="240" w:lineRule="auto"/>
        <w:jc w:val="both"/>
        <w:rPr>
          <w:rFonts w:ascii="Times New Roman" w:hAnsi="Times New Roman"/>
          <w:sz w:val="24"/>
          <w:szCs w:val="24"/>
        </w:rPr>
      </w:pPr>
      <w:r w:rsidRPr="00092A3F">
        <w:rPr>
          <w:rFonts w:ascii="Times New Roman" w:hAnsi="Times New Roman"/>
          <w:sz w:val="24"/>
          <w:szCs w:val="24"/>
        </w:rPr>
        <w:t>Návrh je podle Komise v souladu se zásadou subsidiarity. Revize nařízení eIDAS má reagovat na poptávku po dostupnosti uživatelsky přívětivých přeshraničních řešení, která by umožňovala přístup k on-line službám po celé EU. Členské státy přitom nemohou na tuto situaci reagovat samy, ať už se jedná o rizika spojená s takovýmito přeshraničními řešeními (která jsou již zaváděna některými velkými online platformami) nebo o vzájemné uznávání elektronických potvrzení. Naopak zásah na unijní úrovni má občanům i podnikům poskytnout prostředky k přeshraniční identifikaci, resp. výměně jiných atributů a údajů při zachování bezpečí a důvěrnosti. EU má být rovněž schopna lépe zajistit kontrolu uživatelů a přístup k přeshraničním online službám, resp. poskytnout rámec interoperability.</w:t>
      </w:r>
    </w:p>
    <w:tbl>
      <w:tblPr>
        <w:tblStyle w:val="Mkatabulky"/>
        <w:tblW w:w="0" w:type="auto"/>
        <w:shd w:val="clear" w:color="auto" w:fill="9CC2E5" w:themeFill="accent1" w:themeFillTint="99"/>
        <w:tblLook w:val="04A0" w:firstRow="1" w:lastRow="0" w:firstColumn="1" w:lastColumn="0" w:noHBand="0" w:noVBand="1"/>
      </w:tblPr>
      <w:tblGrid>
        <w:gridCol w:w="9286"/>
      </w:tblGrid>
      <w:tr w:rsidR="00092A3F" w:rsidRPr="00092A3F" w:rsidTr="00FB42D9">
        <w:tc>
          <w:tcPr>
            <w:tcW w:w="9344" w:type="dxa"/>
            <w:shd w:val="clear" w:color="auto" w:fill="9CC2E5" w:themeFill="accent1" w:themeFillTint="99"/>
          </w:tcPr>
          <w:p w:rsidR="00092A3F" w:rsidRPr="00092A3F" w:rsidRDefault="00092A3F" w:rsidP="00092A3F">
            <w:pPr>
              <w:spacing w:after="120" w:line="240" w:lineRule="auto"/>
              <w:jc w:val="both"/>
              <w:rPr>
                <w:rFonts w:eastAsia="Calibri"/>
                <w:sz w:val="24"/>
                <w:szCs w:val="24"/>
                <w:u w:val="single"/>
              </w:rPr>
            </w:pPr>
            <w:r w:rsidRPr="00092A3F">
              <w:rPr>
                <w:rFonts w:eastAsia="Calibri"/>
                <w:sz w:val="24"/>
                <w:szCs w:val="24"/>
                <w:u w:val="single"/>
              </w:rPr>
              <w:t>Poznámka PI</w:t>
            </w:r>
          </w:p>
          <w:p w:rsidR="00092A3F" w:rsidRPr="00092A3F" w:rsidRDefault="00092A3F" w:rsidP="00092A3F">
            <w:pPr>
              <w:spacing w:after="120" w:line="240" w:lineRule="auto"/>
              <w:jc w:val="both"/>
              <w:rPr>
                <w:rFonts w:eastAsia="Calibri"/>
                <w:sz w:val="24"/>
                <w:szCs w:val="24"/>
              </w:rPr>
            </w:pPr>
            <w:r w:rsidRPr="00092A3F">
              <w:rPr>
                <w:rFonts w:eastAsia="Calibri"/>
                <w:sz w:val="24"/>
                <w:szCs w:val="24"/>
              </w:rPr>
              <w:t xml:space="preserve">Výbor pro evropské záležitosti v souvislosti se </w:t>
            </w:r>
            <w:hyperlink r:id="rId12" w:history="1">
              <w:r w:rsidRPr="00092A3F">
                <w:rPr>
                  <w:rFonts w:eastAsia="Calibri"/>
                  <w:color w:val="0000FF"/>
                  <w:sz w:val="24"/>
                  <w:szCs w:val="24"/>
                  <w:u w:val="single"/>
                </w:rPr>
                <w:t>strategií Komise pro jednotný digitální trh</w:t>
              </w:r>
            </w:hyperlink>
            <w:r w:rsidRPr="00092A3F">
              <w:rPr>
                <w:rFonts w:eastAsia="Calibri"/>
                <w:sz w:val="24"/>
                <w:szCs w:val="24"/>
              </w:rPr>
              <w:t xml:space="preserve"> z roku 2015 ve svém </w:t>
            </w:r>
            <w:hyperlink r:id="rId13" w:history="1">
              <w:r w:rsidRPr="00092A3F">
                <w:rPr>
                  <w:rFonts w:eastAsia="Calibri"/>
                  <w:color w:val="0000FF"/>
                  <w:sz w:val="24"/>
                  <w:szCs w:val="24"/>
                  <w:u w:val="single"/>
                </w:rPr>
                <w:t>166. usnesení ze 7. volebního období</w:t>
              </w:r>
            </w:hyperlink>
            <w:r w:rsidRPr="00092A3F">
              <w:rPr>
                <w:rFonts w:eastAsia="Calibri"/>
                <w:sz w:val="24"/>
                <w:szCs w:val="24"/>
              </w:rPr>
              <w:t xml:space="preserve"> uvítal snahu o odstraňování překážek bránících rozvoji digitálního trhu v EU a předložení návrhů legislativních aktů sledujících tento cíl. Ke sdělení </w:t>
            </w:r>
            <w:hyperlink r:id="rId14" w:history="1">
              <w:r w:rsidRPr="00092A3F">
                <w:rPr>
                  <w:rFonts w:eastAsia="Calibri"/>
                  <w:color w:val="0000FF"/>
                  <w:sz w:val="24"/>
                  <w:szCs w:val="24"/>
                  <w:u w:val="single"/>
                </w:rPr>
                <w:t>Digitální kompas 2030: Evropské pojetí digitální dekády</w:t>
              </w:r>
            </w:hyperlink>
            <w:r w:rsidRPr="00092A3F">
              <w:rPr>
                <w:rFonts w:eastAsia="Calibri"/>
                <w:sz w:val="24"/>
                <w:szCs w:val="24"/>
              </w:rPr>
              <w:t xml:space="preserve"> ve svém </w:t>
            </w:r>
            <w:hyperlink r:id="rId15" w:history="1">
              <w:r w:rsidRPr="00092A3F">
                <w:rPr>
                  <w:rFonts w:eastAsia="Calibri"/>
                  <w:color w:val="0000FF"/>
                  <w:sz w:val="24"/>
                  <w:szCs w:val="24"/>
                  <w:u w:val="single"/>
                </w:rPr>
                <w:t>466. usnesení z 8. volebního</w:t>
              </w:r>
            </w:hyperlink>
            <w:r w:rsidRPr="00092A3F">
              <w:rPr>
                <w:rFonts w:eastAsia="Calibri"/>
                <w:sz w:val="24"/>
                <w:szCs w:val="24"/>
              </w:rPr>
              <w:t xml:space="preserve"> období pak mj. zdůraznil, že občané mají mít možnost využívat služby online, ale i fyzicky.</w:t>
            </w:r>
          </w:p>
          <w:p w:rsidR="00092A3F" w:rsidRPr="00092A3F" w:rsidRDefault="00092A3F" w:rsidP="00092A3F">
            <w:pPr>
              <w:spacing w:after="120" w:line="240" w:lineRule="auto"/>
              <w:jc w:val="both"/>
              <w:rPr>
                <w:rFonts w:eastAsia="Calibri"/>
                <w:sz w:val="24"/>
                <w:szCs w:val="24"/>
              </w:rPr>
            </w:pPr>
            <w:r w:rsidRPr="00092A3F">
              <w:rPr>
                <w:rFonts w:eastAsia="Calibri"/>
                <w:sz w:val="24"/>
                <w:szCs w:val="24"/>
              </w:rPr>
              <w:t>Senát Parlamentu České republiky dále k původnímu návrhu nařízení eIDAS v </w:t>
            </w:r>
            <w:hyperlink r:id="rId16" w:history="1">
              <w:r w:rsidRPr="00092A3F">
                <w:rPr>
                  <w:rFonts w:eastAsia="Calibri"/>
                  <w:color w:val="0000FF"/>
                  <w:sz w:val="24"/>
                  <w:szCs w:val="24"/>
                  <w:u w:val="single"/>
                </w:rPr>
                <w:t>777. usnesení z 8. funkčního období</w:t>
              </w:r>
            </w:hyperlink>
            <w:r w:rsidRPr="00092A3F">
              <w:rPr>
                <w:rFonts w:eastAsia="Calibri"/>
                <w:sz w:val="24"/>
                <w:szCs w:val="24"/>
              </w:rPr>
              <w:t xml:space="preserve"> podpořil iniciativy vedoucí k lepšímu přeshraničnímu uznávání elektronických podpisů a jiných nástrojů elektronické identifikace, ač vyjádřil výhrady k volbě formy nařízení namísto směrnice. Upozornil dále na nutnost zachovávat princip technologické neutrality a přísně chránit osobní údaje občanů. V neposlední řadě se postavil za úpravu otázek technického řešení elektronické identifikace v samotném nařízení, nikoli v navazujících aktech v přenesené pravomoci.</w:t>
            </w:r>
          </w:p>
        </w:tc>
      </w:tr>
    </w:tbl>
    <w:p w:rsidR="00092A3F" w:rsidRPr="00FD7068" w:rsidRDefault="00092A3F" w:rsidP="00FD7068">
      <w:pPr>
        <w:pStyle w:val="Odstavecseseznamem"/>
        <w:numPr>
          <w:ilvl w:val="0"/>
          <w:numId w:val="17"/>
        </w:numPr>
        <w:spacing w:before="240" w:after="0" w:line="240" w:lineRule="auto"/>
        <w:ind w:left="0"/>
        <w:outlineLvl w:val="0"/>
        <w:rPr>
          <w:rFonts w:ascii="Times New Roman" w:eastAsia="Times New Roman" w:hAnsi="Times New Roman"/>
          <w:b/>
          <w:sz w:val="24"/>
          <w:szCs w:val="24"/>
          <w:lang w:eastAsia="cs-CZ"/>
        </w:rPr>
      </w:pPr>
      <w:bookmarkStart w:id="9" w:name="_Toc445380611"/>
      <w:bookmarkStart w:id="10" w:name="_Toc448302190"/>
      <w:r w:rsidRPr="00FD7068">
        <w:rPr>
          <w:rFonts w:ascii="Times New Roman" w:eastAsia="Times New Roman" w:hAnsi="Times New Roman"/>
          <w:b/>
          <w:sz w:val="24"/>
          <w:szCs w:val="24"/>
          <w:lang w:eastAsia="cs-CZ"/>
        </w:rPr>
        <w:t>Obsah a dopad:</w:t>
      </w:r>
      <w:bookmarkEnd w:id="9"/>
      <w:bookmarkEnd w:id="10"/>
    </w:p>
    <w:p w:rsidR="00092A3F" w:rsidRPr="00092A3F" w:rsidRDefault="00092A3F" w:rsidP="00092A3F">
      <w:pPr>
        <w:spacing w:after="120" w:line="240" w:lineRule="auto"/>
        <w:jc w:val="both"/>
        <w:rPr>
          <w:rFonts w:ascii="Times New Roman" w:hAnsi="Times New Roman"/>
          <w:sz w:val="24"/>
          <w:szCs w:val="24"/>
        </w:rPr>
      </w:pPr>
      <w:r w:rsidRPr="00092A3F">
        <w:rPr>
          <w:rFonts w:ascii="Times New Roman" w:hAnsi="Times New Roman"/>
          <w:sz w:val="24"/>
          <w:szCs w:val="24"/>
        </w:rPr>
        <w:t>Návrh zavádí do nařízení eIDAS především dva okruhy změn. Jde o (1.) zavedení institutu evropské peněženky digitální identity (a související povinnosti členských států zprostředkovat svým občanům možnost získat celoevropsky uznatelnou digitální identitu) a (2.) rozšíření okruhu (kvalifikovaných) služeb vytvářejících důvěru. S tím souvisí i navázání návrhu na modernizaci rámce o bezpečnosti sítí a informací a úprava některých otázek dohledu.</w:t>
      </w:r>
    </w:p>
    <w:p w:rsidR="00092A3F" w:rsidRPr="00092A3F" w:rsidRDefault="00092A3F" w:rsidP="00092A3F">
      <w:pPr>
        <w:keepNext/>
        <w:keepLines/>
        <w:spacing w:after="120" w:line="240" w:lineRule="auto"/>
        <w:jc w:val="both"/>
        <w:rPr>
          <w:rFonts w:ascii="Times New Roman" w:hAnsi="Times New Roman"/>
          <w:sz w:val="24"/>
          <w:szCs w:val="24"/>
          <w:u w:val="single"/>
        </w:rPr>
      </w:pPr>
      <w:r w:rsidRPr="00092A3F">
        <w:rPr>
          <w:rFonts w:ascii="Times New Roman" w:hAnsi="Times New Roman"/>
          <w:sz w:val="24"/>
          <w:szCs w:val="24"/>
          <w:u w:val="single"/>
        </w:rPr>
        <w:t>1. Zavedení institutu evropské peněženky digitální identity</w:t>
      </w:r>
    </w:p>
    <w:p w:rsidR="00092A3F" w:rsidRPr="00092A3F" w:rsidRDefault="00092A3F" w:rsidP="00092A3F">
      <w:pPr>
        <w:spacing w:after="120" w:line="240" w:lineRule="auto"/>
        <w:jc w:val="both"/>
        <w:rPr>
          <w:rFonts w:ascii="Times New Roman" w:hAnsi="Times New Roman"/>
          <w:sz w:val="24"/>
          <w:szCs w:val="24"/>
        </w:rPr>
      </w:pPr>
      <w:r w:rsidRPr="00092A3F">
        <w:rPr>
          <w:rFonts w:ascii="Times New Roman" w:hAnsi="Times New Roman"/>
          <w:sz w:val="24"/>
          <w:szCs w:val="24"/>
        </w:rPr>
        <w:t>Evropskou peněženkou digitální identity (dále jen „</w:t>
      </w:r>
      <w:r w:rsidRPr="00092A3F">
        <w:rPr>
          <w:rFonts w:ascii="Times New Roman" w:hAnsi="Times New Roman"/>
          <w:b/>
          <w:sz w:val="24"/>
          <w:szCs w:val="24"/>
        </w:rPr>
        <w:t>EPDI</w:t>
      </w:r>
      <w:r w:rsidRPr="00092A3F">
        <w:rPr>
          <w:rFonts w:ascii="Times New Roman" w:hAnsi="Times New Roman"/>
          <w:sz w:val="24"/>
          <w:szCs w:val="24"/>
        </w:rPr>
        <w:t>“) jsou myšleny produkt a služba, které uživateli umožní uchovávat údaje o totožnosti a další údaje spojené s tímto uživatelem. Tyto údaje může poskytovat dalším osobám za účelem offline i online autentizace, resp. dalších služeb a úkonů předvídaných nařízením eIDAS (čl. 3 bod 42 návrhu</w:t>
      </w:r>
      <w:r w:rsidRPr="00092A3F">
        <w:rPr>
          <w:rFonts w:ascii="Times New Roman" w:hAnsi="Times New Roman"/>
          <w:sz w:val="24"/>
          <w:szCs w:val="24"/>
          <w:vertAlign w:val="superscript"/>
        </w:rPr>
        <w:footnoteReference w:id="1"/>
      </w:r>
      <w:r w:rsidRPr="00092A3F">
        <w:rPr>
          <w:rFonts w:ascii="Times New Roman" w:hAnsi="Times New Roman"/>
          <w:sz w:val="24"/>
          <w:szCs w:val="24"/>
        </w:rPr>
        <w:t>).</w:t>
      </w:r>
    </w:p>
    <w:p w:rsidR="00092A3F" w:rsidRPr="00092A3F" w:rsidRDefault="00092A3F" w:rsidP="00092A3F">
      <w:pPr>
        <w:spacing w:after="120" w:line="240" w:lineRule="auto"/>
        <w:jc w:val="both"/>
        <w:rPr>
          <w:rFonts w:ascii="Times New Roman" w:hAnsi="Times New Roman"/>
          <w:sz w:val="24"/>
          <w:szCs w:val="24"/>
        </w:rPr>
      </w:pPr>
      <w:r w:rsidRPr="00092A3F">
        <w:rPr>
          <w:rFonts w:ascii="Times New Roman" w:hAnsi="Times New Roman"/>
          <w:sz w:val="24"/>
          <w:szCs w:val="24"/>
        </w:rPr>
        <w:t xml:space="preserve">EPDI mohou vydávat (v rámci oznámeného systému elektronické identifikace s „vysokou“ úrovní záruky) členské státy, osoby pověřené členskými státy nebo nezávislé subjekty, pokud </w:t>
      </w:r>
      <w:r w:rsidRPr="00092A3F">
        <w:rPr>
          <w:rFonts w:ascii="Times New Roman" w:hAnsi="Times New Roman"/>
          <w:sz w:val="24"/>
          <w:szCs w:val="24"/>
        </w:rPr>
        <w:lastRenderedPageBreak/>
        <w:t xml:space="preserve">jsou takto vydávané peněženky uznávané členským státem. Členské státy mají podle návrhu </w:t>
      </w:r>
      <w:r w:rsidRPr="00092A3F">
        <w:rPr>
          <w:rFonts w:ascii="Times New Roman" w:hAnsi="Times New Roman"/>
          <w:b/>
          <w:sz w:val="24"/>
          <w:szCs w:val="24"/>
        </w:rPr>
        <w:t>povinnost</w:t>
      </w:r>
      <w:r w:rsidRPr="00092A3F">
        <w:rPr>
          <w:rFonts w:ascii="Times New Roman" w:hAnsi="Times New Roman"/>
          <w:sz w:val="24"/>
          <w:szCs w:val="24"/>
        </w:rPr>
        <w:t xml:space="preserve"> EPDI vydat do 12 měsíců od vstupu návrhu nařízení v platnost (podle čl. 7 návrhu mají být rovněž nově povinny oznámit alespoň jeden systém elektronické identifikace). Užívání EPDI je pro fyzické osoby bezplatné.</w:t>
      </w:r>
    </w:p>
    <w:p w:rsidR="00092A3F" w:rsidRPr="00092A3F" w:rsidRDefault="00092A3F" w:rsidP="00092A3F">
      <w:pPr>
        <w:spacing w:after="120" w:line="240" w:lineRule="auto"/>
        <w:jc w:val="both"/>
        <w:rPr>
          <w:rFonts w:ascii="Times New Roman" w:hAnsi="Times New Roman"/>
          <w:sz w:val="24"/>
          <w:szCs w:val="24"/>
        </w:rPr>
      </w:pPr>
      <w:r w:rsidRPr="00092A3F">
        <w:rPr>
          <w:rFonts w:ascii="Times New Roman" w:hAnsi="Times New Roman"/>
          <w:sz w:val="24"/>
          <w:szCs w:val="24"/>
        </w:rPr>
        <w:t>EPDI by měly mít přinejmenším následující funkce/parametry:</w:t>
      </w:r>
    </w:p>
    <w:p w:rsidR="00092A3F" w:rsidRPr="00092A3F" w:rsidRDefault="00092A3F" w:rsidP="00092A3F">
      <w:pPr>
        <w:numPr>
          <w:ilvl w:val="0"/>
          <w:numId w:val="18"/>
        </w:numPr>
        <w:suppressAutoHyphens/>
        <w:autoSpaceDN w:val="0"/>
        <w:spacing w:after="120" w:line="254" w:lineRule="auto"/>
        <w:ind w:left="357" w:hanging="357"/>
        <w:jc w:val="both"/>
        <w:textAlignment w:val="baseline"/>
        <w:rPr>
          <w:rFonts w:ascii="Times New Roman" w:hAnsi="Times New Roman"/>
          <w:sz w:val="24"/>
          <w:szCs w:val="24"/>
        </w:rPr>
      </w:pPr>
      <w:r w:rsidRPr="00092A3F">
        <w:rPr>
          <w:rFonts w:ascii="Times New Roman" w:hAnsi="Times New Roman"/>
          <w:sz w:val="24"/>
          <w:szCs w:val="24"/>
        </w:rPr>
        <w:t>umožnit uživatelům (i.) podepisovat kvalifikovanými elektronickými podpisy a (ii.) nakládat se svými identifikačními údaji i jinými informacemi o své osobě (</w:t>
      </w:r>
      <w:r w:rsidRPr="00092A3F">
        <w:rPr>
          <w:rFonts w:ascii="Times New Roman" w:hAnsi="Times New Roman"/>
          <w:i/>
          <w:sz w:val="24"/>
          <w:szCs w:val="24"/>
        </w:rPr>
        <w:t>elektronickými potvrzeními atributů</w:t>
      </w:r>
      <w:r w:rsidRPr="00092A3F">
        <w:rPr>
          <w:rFonts w:ascii="Times New Roman" w:hAnsi="Times New Roman"/>
          <w:sz w:val="24"/>
          <w:szCs w:val="24"/>
        </w:rPr>
        <w:t>) za účelem online a offline autentizace k využívání veřejných i soukromých služeb. Nakládáním s údaji je zde myšlena široká škála operací (získávání, ukládání, vybírání, kombinování a sdílení).</w:t>
      </w:r>
    </w:p>
    <w:p w:rsidR="00092A3F" w:rsidRPr="00092A3F" w:rsidRDefault="00092A3F" w:rsidP="00092A3F">
      <w:pPr>
        <w:numPr>
          <w:ilvl w:val="0"/>
          <w:numId w:val="18"/>
        </w:numPr>
        <w:suppressAutoHyphens/>
        <w:autoSpaceDN w:val="0"/>
        <w:spacing w:after="120" w:line="254" w:lineRule="auto"/>
        <w:ind w:left="357" w:hanging="357"/>
        <w:jc w:val="both"/>
        <w:textAlignment w:val="baseline"/>
        <w:rPr>
          <w:rFonts w:ascii="Times New Roman" w:hAnsi="Times New Roman"/>
          <w:sz w:val="24"/>
          <w:szCs w:val="24"/>
        </w:rPr>
      </w:pPr>
      <w:r w:rsidRPr="00092A3F">
        <w:rPr>
          <w:rFonts w:ascii="Times New Roman" w:hAnsi="Times New Roman"/>
          <w:sz w:val="24"/>
          <w:szCs w:val="24"/>
        </w:rPr>
        <w:t>Poskytovat za stanovených podmínek společné rozhraní pro (i.) činnost poskytovatelů služeb vytvářejících důvěru, (ii.) spoléhající se strany požadující/ověřující údaje jiné osoby, (iii.) předkládání údajů o vlastní osobě spoléhajícím se stranám v offline režimu či (iv.) zobrazení značky důvěry EU pro EPDI.</w:t>
      </w:r>
    </w:p>
    <w:p w:rsidR="00092A3F" w:rsidRPr="00092A3F" w:rsidRDefault="00092A3F" w:rsidP="00092A3F">
      <w:pPr>
        <w:numPr>
          <w:ilvl w:val="0"/>
          <w:numId w:val="18"/>
        </w:numPr>
        <w:suppressAutoHyphens/>
        <w:autoSpaceDN w:val="0"/>
        <w:spacing w:after="120" w:line="254" w:lineRule="auto"/>
        <w:ind w:left="357" w:hanging="357"/>
        <w:jc w:val="both"/>
        <w:textAlignment w:val="baseline"/>
        <w:rPr>
          <w:rFonts w:ascii="Times New Roman" w:hAnsi="Times New Roman"/>
          <w:sz w:val="24"/>
          <w:szCs w:val="24"/>
        </w:rPr>
      </w:pPr>
      <w:r w:rsidRPr="00092A3F">
        <w:rPr>
          <w:rFonts w:ascii="Times New Roman" w:hAnsi="Times New Roman"/>
          <w:sz w:val="24"/>
          <w:szCs w:val="24"/>
        </w:rPr>
        <w:t>Poskytovatelé služeb vytvářejících důvěru poskytující kvalifikovaná potvrzení atributů (jiných údajů o dotčené osobě) nemají obdržet žádné informace o používání těchto atributů.</w:t>
      </w:r>
    </w:p>
    <w:p w:rsidR="00092A3F" w:rsidRPr="00092A3F" w:rsidRDefault="00092A3F" w:rsidP="00092A3F">
      <w:pPr>
        <w:numPr>
          <w:ilvl w:val="0"/>
          <w:numId w:val="18"/>
        </w:numPr>
        <w:suppressAutoHyphens/>
        <w:autoSpaceDN w:val="0"/>
        <w:spacing w:after="120" w:line="254" w:lineRule="auto"/>
        <w:ind w:left="357" w:hanging="357"/>
        <w:jc w:val="both"/>
        <w:textAlignment w:val="baseline"/>
        <w:rPr>
          <w:rFonts w:ascii="Times New Roman" w:hAnsi="Times New Roman"/>
          <w:sz w:val="24"/>
          <w:szCs w:val="24"/>
        </w:rPr>
      </w:pPr>
      <w:r w:rsidRPr="00092A3F">
        <w:rPr>
          <w:rFonts w:ascii="Times New Roman" w:hAnsi="Times New Roman"/>
          <w:sz w:val="24"/>
          <w:szCs w:val="24"/>
        </w:rPr>
        <w:t>Další funkce/parametry směřující k zajištění jistoty na straně spoléhající se strany a bezpečí na straně uživatele. Členské státy jsou přitom odpovědné za poskytnutí mechanismů k ověření (i.) pravosti a platnosti EPDI, (ii.) pravosti a platnosti potvrzení atributů pro spoléhající se strany a (iii.) pravosti a platnosti přirazených osobních identifikačních údajů pro spoléhající se strany a poskytovatele služeb vytvářejících důvěru.</w:t>
      </w:r>
    </w:p>
    <w:p w:rsidR="00092A3F" w:rsidRPr="00092A3F" w:rsidRDefault="00092A3F" w:rsidP="00092A3F">
      <w:pPr>
        <w:spacing w:after="120" w:line="240" w:lineRule="auto"/>
        <w:jc w:val="both"/>
        <w:rPr>
          <w:rFonts w:ascii="Times New Roman" w:hAnsi="Times New Roman"/>
          <w:sz w:val="24"/>
          <w:szCs w:val="24"/>
        </w:rPr>
      </w:pPr>
      <w:r w:rsidRPr="00092A3F">
        <w:rPr>
          <w:rFonts w:ascii="Times New Roman" w:hAnsi="Times New Roman"/>
          <w:sz w:val="24"/>
          <w:szCs w:val="24"/>
        </w:rPr>
        <w:t>Spoléhající se strany (soukromé osoby) spoléhající se na EPDI mají tento záměr spolu s dalšími informacemi sdělit svému členskému státu usazení, přičemž členské státy pro autentizaci spoléhajících se stran zavedou společný mechanismus (navrhovaný nový čl. 6b nařízení eIDAS).</w:t>
      </w:r>
    </w:p>
    <w:p w:rsidR="00092A3F" w:rsidRPr="00092A3F" w:rsidRDefault="00092A3F" w:rsidP="00092A3F">
      <w:pPr>
        <w:spacing w:after="120" w:line="240" w:lineRule="auto"/>
        <w:jc w:val="both"/>
        <w:rPr>
          <w:rFonts w:ascii="Times New Roman" w:hAnsi="Times New Roman"/>
          <w:sz w:val="24"/>
          <w:szCs w:val="24"/>
        </w:rPr>
      </w:pPr>
      <w:r w:rsidRPr="00092A3F">
        <w:rPr>
          <w:rFonts w:ascii="Times New Roman" w:hAnsi="Times New Roman"/>
          <w:sz w:val="24"/>
          <w:szCs w:val="24"/>
        </w:rPr>
        <w:t>V následujících situacích musí být EPDI přijímány při jejich přeshraničním využití:</w:t>
      </w:r>
    </w:p>
    <w:p w:rsidR="00092A3F" w:rsidRPr="00092A3F" w:rsidRDefault="00092A3F" w:rsidP="00092A3F">
      <w:pPr>
        <w:numPr>
          <w:ilvl w:val="0"/>
          <w:numId w:val="18"/>
        </w:numPr>
        <w:suppressAutoHyphens/>
        <w:autoSpaceDN w:val="0"/>
        <w:spacing w:after="120" w:line="254" w:lineRule="auto"/>
        <w:ind w:left="357" w:hanging="357"/>
        <w:jc w:val="both"/>
        <w:textAlignment w:val="baseline"/>
        <w:rPr>
          <w:rFonts w:ascii="Times New Roman" w:hAnsi="Times New Roman"/>
          <w:sz w:val="24"/>
          <w:szCs w:val="24"/>
        </w:rPr>
      </w:pPr>
      <w:r w:rsidRPr="00092A3F">
        <w:rPr>
          <w:rFonts w:ascii="Times New Roman" w:hAnsi="Times New Roman"/>
          <w:sz w:val="24"/>
          <w:szCs w:val="24"/>
        </w:rPr>
        <w:t xml:space="preserve">Při poskytování </w:t>
      </w:r>
      <w:r w:rsidRPr="00092A3F">
        <w:rPr>
          <w:rFonts w:ascii="Times New Roman" w:hAnsi="Times New Roman"/>
          <w:b/>
          <w:sz w:val="24"/>
          <w:szCs w:val="24"/>
        </w:rPr>
        <w:t>služby subjektem veřejného sektoru</w:t>
      </w:r>
      <w:r w:rsidRPr="00092A3F">
        <w:rPr>
          <w:rFonts w:ascii="Times New Roman" w:hAnsi="Times New Roman"/>
          <w:sz w:val="24"/>
          <w:szCs w:val="24"/>
        </w:rPr>
        <w:t>, pokud pro přístup k on-line službě vyžaduje elektronickou identifikaci za pomoci prostředku pro elektronickou identifikaci a autentizaci.</w:t>
      </w:r>
    </w:p>
    <w:p w:rsidR="00092A3F" w:rsidRPr="00092A3F" w:rsidRDefault="00092A3F" w:rsidP="00092A3F">
      <w:pPr>
        <w:numPr>
          <w:ilvl w:val="0"/>
          <w:numId w:val="18"/>
        </w:numPr>
        <w:suppressAutoHyphens/>
        <w:autoSpaceDN w:val="0"/>
        <w:spacing w:after="120" w:line="254" w:lineRule="auto"/>
        <w:ind w:left="357" w:hanging="357"/>
        <w:jc w:val="both"/>
        <w:textAlignment w:val="baseline"/>
        <w:rPr>
          <w:rFonts w:ascii="Times New Roman" w:hAnsi="Times New Roman"/>
          <w:sz w:val="24"/>
          <w:szCs w:val="24"/>
        </w:rPr>
      </w:pPr>
      <w:r w:rsidRPr="00092A3F">
        <w:rPr>
          <w:rFonts w:ascii="Times New Roman" w:hAnsi="Times New Roman"/>
          <w:sz w:val="24"/>
          <w:szCs w:val="24"/>
        </w:rPr>
        <w:t xml:space="preserve">Pokud jde o </w:t>
      </w:r>
      <w:r w:rsidRPr="00092A3F">
        <w:rPr>
          <w:rFonts w:ascii="Times New Roman" w:hAnsi="Times New Roman"/>
          <w:b/>
          <w:sz w:val="24"/>
          <w:szCs w:val="24"/>
        </w:rPr>
        <w:t>soukromou spoléhající se stranu</w:t>
      </w:r>
      <w:r w:rsidRPr="00092A3F">
        <w:rPr>
          <w:rFonts w:ascii="Times New Roman" w:hAnsi="Times New Roman"/>
          <w:sz w:val="24"/>
          <w:szCs w:val="24"/>
        </w:rPr>
        <w:t>, kde vnitrostátní či unijní právo nebo smluvní závazek vyžadují silnou autentizaci uživatele. Návrh uvádí mj. poskytovatele v oblasti dopravy, energetiky, bankovnictví a finančních služeb, zdravotnictví apod.</w:t>
      </w:r>
    </w:p>
    <w:p w:rsidR="00092A3F" w:rsidRPr="00092A3F" w:rsidRDefault="00092A3F" w:rsidP="00092A3F">
      <w:pPr>
        <w:numPr>
          <w:ilvl w:val="0"/>
          <w:numId w:val="18"/>
        </w:numPr>
        <w:suppressAutoHyphens/>
        <w:autoSpaceDN w:val="0"/>
        <w:spacing w:after="120" w:line="254" w:lineRule="auto"/>
        <w:ind w:left="357" w:hanging="357"/>
        <w:jc w:val="both"/>
        <w:textAlignment w:val="baseline"/>
        <w:rPr>
          <w:rFonts w:ascii="Times New Roman" w:hAnsi="Times New Roman"/>
          <w:sz w:val="24"/>
          <w:szCs w:val="24"/>
        </w:rPr>
      </w:pPr>
      <w:r w:rsidRPr="00092A3F">
        <w:rPr>
          <w:rFonts w:ascii="Times New Roman" w:hAnsi="Times New Roman"/>
          <w:sz w:val="24"/>
          <w:szCs w:val="24"/>
        </w:rPr>
        <w:t xml:space="preserve">Pokud </w:t>
      </w:r>
      <w:r w:rsidRPr="00092A3F">
        <w:rPr>
          <w:rFonts w:ascii="Times New Roman" w:hAnsi="Times New Roman"/>
          <w:b/>
          <w:sz w:val="24"/>
          <w:szCs w:val="24"/>
        </w:rPr>
        <w:t>velmi velké</w:t>
      </w:r>
      <w:r w:rsidRPr="00092A3F">
        <w:rPr>
          <w:rFonts w:ascii="Times New Roman" w:hAnsi="Times New Roman"/>
          <w:sz w:val="24"/>
          <w:szCs w:val="24"/>
        </w:rPr>
        <w:t xml:space="preserve"> </w:t>
      </w:r>
      <w:r w:rsidRPr="00092A3F">
        <w:rPr>
          <w:rFonts w:ascii="Times New Roman" w:hAnsi="Times New Roman"/>
          <w:b/>
          <w:sz w:val="24"/>
          <w:szCs w:val="24"/>
        </w:rPr>
        <w:t>on-line platformy</w:t>
      </w:r>
      <w:r w:rsidRPr="00092A3F">
        <w:rPr>
          <w:rFonts w:ascii="Times New Roman" w:hAnsi="Times New Roman"/>
          <w:sz w:val="24"/>
          <w:szCs w:val="24"/>
        </w:rPr>
        <w:t xml:space="preserve"> ve smyslu čl. 25 odst. 1 </w:t>
      </w:r>
      <w:hyperlink r:id="rId17" w:history="1">
        <w:r w:rsidRPr="00092A3F">
          <w:rPr>
            <w:rFonts w:ascii="Times New Roman" w:hAnsi="Times New Roman"/>
            <w:color w:val="0000FF"/>
            <w:sz w:val="24"/>
            <w:szCs w:val="24"/>
            <w:u w:val="single"/>
          </w:rPr>
          <w:t>návrhu aktu o digitálních službách</w:t>
        </w:r>
      </w:hyperlink>
      <w:r w:rsidRPr="00092A3F">
        <w:rPr>
          <w:rFonts w:ascii="Times New Roman" w:hAnsi="Times New Roman"/>
          <w:sz w:val="24"/>
          <w:szCs w:val="24"/>
        </w:rPr>
        <w:t xml:space="preserve"> (tj. platformy s průměrným měsíčním počtem aktivních příjemců větším nebo rovným 45 milionům) po uživatelích vyžadují autentizaci pro přístup k on-line službách, ovšem výhradně na dobrovolnou žádost uživatele při využití nezbytného minima potřebných údajů.</w:t>
      </w:r>
    </w:p>
    <w:p w:rsidR="00092A3F" w:rsidRPr="00092A3F" w:rsidRDefault="00092A3F" w:rsidP="00092A3F">
      <w:pPr>
        <w:spacing w:after="120" w:line="240" w:lineRule="auto"/>
        <w:rPr>
          <w:rFonts w:ascii="Times New Roman" w:hAnsi="Times New Roman"/>
          <w:sz w:val="24"/>
          <w:szCs w:val="24"/>
        </w:rPr>
      </w:pPr>
      <w:r w:rsidRPr="00092A3F">
        <w:rPr>
          <w:rFonts w:ascii="Times New Roman" w:eastAsia="Times New Roman" w:hAnsi="Times New Roman"/>
          <w:sz w:val="24"/>
          <w:szCs w:val="24"/>
          <w:lang w:eastAsia="cs-CZ"/>
        </w:rPr>
        <w:t>K široké dostupnosti prostředků elektronické komunikace by měly přispět kodexy chování.</w:t>
      </w:r>
    </w:p>
    <w:p w:rsidR="00092A3F" w:rsidRPr="00092A3F" w:rsidRDefault="00092A3F" w:rsidP="00092A3F">
      <w:pPr>
        <w:keepNext/>
        <w:spacing w:after="120" w:line="240" w:lineRule="auto"/>
        <w:jc w:val="both"/>
        <w:rPr>
          <w:rFonts w:ascii="Times New Roman" w:hAnsi="Times New Roman"/>
          <w:sz w:val="24"/>
          <w:szCs w:val="24"/>
          <w:u w:val="single"/>
        </w:rPr>
      </w:pPr>
      <w:r w:rsidRPr="00092A3F">
        <w:rPr>
          <w:rFonts w:ascii="Times New Roman" w:hAnsi="Times New Roman"/>
          <w:sz w:val="24"/>
          <w:szCs w:val="24"/>
          <w:u w:val="single"/>
        </w:rPr>
        <w:t>2. Rozšíření okruhu služeb vytvářejících důvěru</w:t>
      </w:r>
    </w:p>
    <w:p w:rsidR="00092A3F" w:rsidRPr="00092A3F" w:rsidRDefault="00092A3F" w:rsidP="00092A3F">
      <w:pPr>
        <w:spacing w:after="120" w:line="240" w:lineRule="auto"/>
        <w:jc w:val="both"/>
        <w:rPr>
          <w:rFonts w:ascii="Times New Roman" w:hAnsi="Times New Roman"/>
          <w:sz w:val="24"/>
          <w:szCs w:val="24"/>
        </w:rPr>
      </w:pPr>
      <w:r w:rsidRPr="00092A3F">
        <w:rPr>
          <w:rFonts w:ascii="Times New Roman" w:hAnsi="Times New Roman"/>
          <w:sz w:val="24"/>
          <w:szCs w:val="24"/>
        </w:rPr>
        <w:t>Návrh zavádí čtyři nové typy (kvalifikovaných) služeb vytvářejících důvěru, a to (i.) správu prostředků pro vytváření elektronických podpisů (pečetí) na dálku, (ii.) elektronické potvrzování atributů, (iii.) služby elektronické archivace a (iv.) elektronické účetní knihy.</w:t>
      </w:r>
    </w:p>
    <w:p w:rsidR="00092A3F" w:rsidRPr="00092A3F" w:rsidRDefault="00092A3F" w:rsidP="00092A3F">
      <w:pPr>
        <w:numPr>
          <w:ilvl w:val="0"/>
          <w:numId w:val="18"/>
        </w:numPr>
        <w:suppressAutoHyphens/>
        <w:autoSpaceDN w:val="0"/>
        <w:spacing w:after="120" w:line="254" w:lineRule="auto"/>
        <w:ind w:left="357" w:hanging="357"/>
        <w:jc w:val="both"/>
        <w:textAlignment w:val="baseline"/>
        <w:rPr>
          <w:rFonts w:ascii="Times New Roman" w:hAnsi="Times New Roman"/>
          <w:sz w:val="24"/>
          <w:szCs w:val="24"/>
        </w:rPr>
      </w:pPr>
      <w:r w:rsidRPr="00092A3F">
        <w:rPr>
          <w:rFonts w:ascii="Times New Roman" w:hAnsi="Times New Roman"/>
          <w:sz w:val="24"/>
          <w:szCs w:val="24"/>
        </w:rPr>
        <w:lastRenderedPageBreak/>
        <w:t xml:space="preserve">Kvalifikovanou službu </w:t>
      </w:r>
      <w:r w:rsidRPr="00092A3F">
        <w:rPr>
          <w:rFonts w:ascii="Times New Roman" w:hAnsi="Times New Roman"/>
          <w:b/>
          <w:sz w:val="24"/>
          <w:szCs w:val="24"/>
        </w:rPr>
        <w:t xml:space="preserve">správy prostředků pro vytváření elektronických podpisů na dálku </w:t>
      </w:r>
      <w:r w:rsidRPr="00092A3F">
        <w:rPr>
          <w:rFonts w:ascii="Times New Roman" w:hAnsi="Times New Roman"/>
          <w:sz w:val="24"/>
          <w:szCs w:val="24"/>
        </w:rPr>
        <w:t xml:space="preserve">mohou provádět pouze kvalifikovaní poskytovatelé, kteří vytváří nebo spravují data pro vytváření elektronických podpisů jménem podepisující osoby, kopírují za stanovených podmínek data pro vytváření elektronických podpisů a splňují požadavky tzv. certifikační zprávy konkrétního kvalifikovaného prostředku pro vytváření podpisů. Tato úprava se vztáhne přiměřeně i na </w:t>
      </w:r>
      <w:r w:rsidRPr="00092A3F">
        <w:rPr>
          <w:rFonts w:ascii="Times New Roman" w:hAnsi="Times New Roman"/>
          <w:b/>
          <w:sz w:val="24"/>
          <w:szCs w:val="24"/>
        </w:rPr>
        <w:t>správu prostředků pro vytváření elektronických pečetí na dálku</w:t>
      </w:r>
      <w:r w:rsidRPr="00092A3F">
        <w:rPr>
          <w:rFonts w:ascii="Times New Roman" w:hAnsi="Times New Roman"/>
          <w:sz w:val="24"/>
          <w:szCs w:val="24"/>
        </w:rPr>
        <w:t>.</w:t>
      </w:r>
    </w:p>
    <w:p w:rsidR="00092A3F" w:rsidRPr="00092A3F" w:rsidRDefault="00092A3F" w:rsidP="00092A3F">
      <w:pPr>
        <w:numPr>
          <w:ilvl w:val="0"/>
          <w:numId w:val="18"/>
        </w:numPr>
        <w:suppressAutoHyphens/>
        <w:autoSpaceDN w:val="0"/>
        <w:spacing w:after="120" w:line="254" w:lineRule="auto"/>
        <w:ind w:left="357" w:hanging="357"/>
        <w:jc w:val="both"/>
        <w:textAlignment w:val="baseline"/>
        <w:rPr>
          <w:rFonts w:ascii="Times New Roman" w:hAnsi="Times New Roman"/>
          <w:sz w:val="24"/>
          <w:szCs w:val="24"/>
        </w:rPr>
      </w:pPr>
      <w:r w:rsidRPr="00092A3F">
        <w:rPr>
          <w:rFonts w:ascii="Times New Roman" w:hAnsi="Times New Roman"/>
          <w:sz w:val="24"/>
          <w:szCs w:val="24"/>
        </w:rPr>
        <w:t xml:space="preserve">Atributem je myšlen </w:t>
      </w:r>
      <w:r w:rsidRPr="00092A3F">
        <w:rPr>
          <w:rFonts w:ascii="Times New Roman" w:hAnsi="Times New Roman"/>
          <w:i/>
          <w:sz w:val="24"/>
          <w:szCs w:val="24"/>
        </w:rPr>
        <w:t>„prvek, rys nebo vlastnost fyzické nebo právnické osoby nebo subjektu v elektronické podobě“</w:t>
      </w:r>
      <w:r w:rsidRPr="00092A3F">
        <w:rPr>
          <w:rFonts w:ascii="Times New Roman" w:hAnsi="Times New Roman"/>
          <w:sz w:val="24"/>
          <w:szCs w:val="24"/>
        </w:rPr>
        <w:t xml:space="preserve">. </w:t>
      </w:r>
      <w:r w:rsidRPr="00092A3F">
        <w:rPr>
          <w:rFonts w:ascii="Times New Roman" w:hAnsi="Times New Roman"/>
          <w:b/>
          <w:sz w:val="24"/>
          <w:szCs w:val="24"/>
        </w:rPr>
        <w:t>Elektronickému potvrzení atributů</w:t>
      </w:r>
      <w:r w:rsidRPr="00092A3F">
        <w:rPr>
          <w:rFonts w:ascii="Times New Roman" w:hAnsi="Times New Roman"/>
          <w:sz w:val="24"/>
          <w:szCs w:val="24"/>
        </w:rPr>
        <w:t xml:space="preserve"> pak nesmí být upírány právní účinky a nesmí být odpíráno jako důkaz před soudy a správními orgány z důvodu své elektronické povahy. Jde-li o </w:t>
      </w:r>
      <w:r w:rsidRPr="00092A3F">
        <w:rPr>
          <w:rFonts w:ascii="Times New Roman" w:hAnsi="Times New Roman"/>
          <w:b/>
          <w:sz w:val="24"/>
          <w:szCs w:val="24"/>
        </w:rPr>
        <w:t xml:space="preserve">kvalifikované elektronické potvrzení atributů </w:t>
      </w:r>
      <w:r w:rsidRPr="00092A3F">
        <w:rPr>
          <w:rFonts w:ascii="Times New Roman" w:hAnsi="Times New Roman"/>
          <w:sz w:val="24"/>
          <w:szCs w:val="24"/>
        </w:rPr>
        <w:t>(která musí splňovat specifické požadavky stanovené v příloze návrhu), musí mít stejný právní účinek jako zákonně vydaná potvrzení v tištěné podobě, přičemž má být uznáváno i přeshraničně. Identifikační údaje obsažené v elektronickém potvrzení atributů však nemusí nutně nahrazovat elektronickou identifikaci skrze prostředek pro elektronickou identifikaci ve veřejných službách, členské státy při tomto však nesmí činit rozdíly mezi potvrzeními z jiných členských států (čl. 45b návrhu). Poskytovatelé kvalifikovaných elektronických potvrzení atributů musí poskytovat rozhraní s EPDI (čl. 45e návrhu).</w:t>
      </w:r>
    </w:p>
    <w:p w:rsidR="00092A3F" w:rsidRPr="00092A3F" w:rsidRDefault="00092A3F" w:rsidP="00092A3F">
      <w:pPr>
        <w:numPr>
          <w:ilvl w:val="0"/>
          <w:numId w:val="18"/>
        </w:numPr>
        <w:suppressAutoHyphens/>
        <w:autoSpaceDN w:val="0"/>
        <w:spacing w:after="120" w:line="254" w:lineRule="auto"/>
        <w:ind w:left="357" w:hanging="357"/>
        <w:jc w:val="both"/>
        <w:textAlignment w:val="baseline"/>
        <w:rPr>
          <w:rFonts w:ascii="Times New Roman" w:hAnsi="Times New Roman"/>
          <w:sz w:val="24"/>
          <w:szCs w:val="24"/>
        </w:rPr>
      </w:pPr>
      <w:r w:rsidRPr="00092A3F">
        <w:rPr>
          <w:rFonts w:ascii="Times New Roman" w:hAnsi="Times New Roman"/>
          <w:sz w:val="24"/>
          <w:szCs w:val="24"/>
        </w:rPr>
        <w:t xml:space="preserve">Elektronickou archivací se rozumí služba </w:t>
      </w:r>
      <w:r w:rsidRPr="00092A3F">
        <w:rPr>
          <w:rFonts w:ascii="Times New Roman" w:hAnsi="Times New Roman"/>
          <w:i/>
          <w:sz w:val="24"/>
          <w:szCs w:val="24"/>
        </w:rPr>
        <w:t>„zajišťující přijímání, uchovávání, výmaz a přenos elektronických údajů nebo dokumentů s cílem zajistit jejich integritu, přesnost jejich původu a právní znaky po celou dobu uchovávání“</w:t>
      </w:r>
      <w:r w:rsidRPr="00092A3F">
        <w:rPr>
          <w:rFonts w:ascii="Times New Roman" w:hAnsi="Times New Roman"/>
          <w:sz w:val="24"/>
          <w:szCs w:val="24"/>
        </w:rPr>
        <w:t xml:space="preserve"> (čl. 2. bod. 47 návrhu). </w:t>
      </w:r>
      <w:r w:rsidRPr="00092A3F">
        <w:rPr>
          <w:rFonts w:ascii="Times New Roman" w:hAnsi="Times New Roman"/>
          <w:b/>
          <w:sz w:val="24"/>
          <w:szCs w:val="24"/>
        </w:rPr>
        <w:t>Kvalifikované služby elektronické archivace</w:t>
      </w:r>
      <w:r w:rsidRPr="00092A3F">
        <w:rPr>
          <w:rFonts w:ascii="Times New Roman" w:hAnsi="Times New Roman"/>
          <w:sz w:val="24"/>
          <w:szCs w:val="24"/>
        </w:rPr>
        <w:t xml:space="preserve"> mohou poskytovat pouze kvalifikovaní poskytovatelé služeb vytvářejících důvěru, kteří používají postupy a technologie schopné zajistit důvěryhodnost elektronického dokumentu i po uplynutí doby technické platnosti (čl. 45g návrhu).</w:t>
      </w:r>
    </w:p>
    <w:p w:rsidR="00092A3F" w:rsidRPr="00092A3F" w:rsidRDefault="00092A3F" w:rsidP="00092A3F">
      <w:pPr>
        <w:numPr>
          <w:ilvl w:val="0"/>
          <w:numId w:val="18"/>
        </w:numPr>
        <w:suppressAutoHyphens/>
        <w:autoSpaceDN w:val="0"/>
        <w:spacing w:after="120" w:line="254" w:lineRule="auto"/>
        <w:jc w:val="both"/>
        <w:textAlignment w:val="baseline"/>
        <w:rPr>
          <w:rFonts w:ascii="Times New Roman" w:hAnsi="Times New Roman"/>
          <w:sz w:val="24"/>
          <w:szCs w:val="24"/>
        </w:rPr>
      </w:pPr>
      <w:r w:rsidRPr="00092A3F">
        <w:rPr>
          <w:rFonts w:ascii="Times New Roman" w:hAnsi="Times New Roman"/>
          <w:b/>
          <w:sz w:val="24"/>
          <w:szCs w:val="24"/>
        </w:rPr>
        <w:t>Elektronickou účetní knihou</w:t>
      </w:r>
      <w:r w:rsidRPr="00092A3F">
        <w:rPr>
          <w:rFonts w:ascii="Times New Roman" w:hAnsi="Times New Roman"/>
          <w:sz w:val="24"/>
          <w:szCs w:val="24"/>
        </w:rPr>
        <w:t xml:space="preserve"> se rozumí </w:t>
      </w:r>
      <w:r w:rsidRPr="00092A3F">
        <w:rPr>
          <w:rFonts w:ascii="Times New Roman" w:hAnsi="Times New Roman"/>
          <w:i/>
          <w:sz w:val="24"/>
          <w:szCs w:val="24"/>
        </w:rPr>
        <w:t xml:space="preserve">„elektronický záznam údajů odolný proti neoprávněným zásahům, který zajišťuje pravost a integritu údajů, jež obsahuje, přesnost jejich data a času a jejich chronologické řazení“ </w:t>
      </w:r>
      <w:r w:rsidRPr="00092A3F">
        <w:rPr>
          <w:rFonts w:ascii="Times New Roman" w:hAnsi="Times New Roman"/>
          <w:sz w:val="24"/>
          <w:szCs w:val="24"/>
        </w:rPr>
        <w:t xml:space="preserve">(čl. 2 bod 53 návrhu). Nesmí jí být upírány právní účinky a nesmí být odmítána jako důkaz před soudy a správními orgány pro svou elektronickou podobu (či pro absenci elektronické pečetě). Pokud jde o </w:t>
      </w:r>
      <w:r w:rsidRPr="00092A3F">
        <w:rPr>
          <w:rFonts w:ascii="Times New Roman" w:hAnsi="Times New Roman"/>
          <w:b/>
          <w:sz w:val="24"/>
          <w:szCs w:val="24"/>
        </w:rPr>
        <w:t xml:space="preserve">kvalifikovanou elektronickou účetní knihu </w:t>
      </w:r>
      <w:r w:rsidRPr="00092A3F">
        <w:rPr>
          <w:rFonts w:ascii="Times New Roman" w:hAnsi="Times New Roman"/>
          <w:sz w:val="24"/>
          <w:szCs w:val="24"/>
        </w:rPr>
        <w:t>(která tedy splňuje zvláštní požadavky podle čl. 45i návrhu), platí domněnka jedinečnosti a pravdivosti údajů v ní obsažených, resp. správnosti jejich data, času a chronologického řazení.</w:t>
      </w:r>
    </w:p>
    <w:p w:rsidR="00092A3F" w:rsidRPr="00092A3F" w:rsidRDefault="00092A3F" w:rsidP="00092A3F">
      <w:pPr>
        <w:spacing w:after="0" w:line="240" w:lineRule="auto"/>
        <w:jc w:val="both"/>
        <w:rPr>
          <w:rFonts w:ascii="Times New Roman" w:hAnsi="Times New Roman"/>
          <w:sz w:val="24"/>
          <w:szCs w:val="24"/>
        </w:rPr>
      </w:pPr>
      <w:r w:rsidRPr="00092A3F">
        <w:rPr>
          <w:rFonts w:ascii="Times New Roman" w:eastAsia="Times New Roman" w:hAnsi="Times New Roman"/>
          <w:sz w:val="24"/>
          <w:szCs w:val="24"/>
          <w:lang w:eastAsia="cs-CZ"/>
        </w:rPr>
        <w:t xml:space="preserve">Mimoto návrh přizpůsobuje pravidla pro dohled (a kvalifikované poskytovatele služeb vytvářejících důvěru) novému </w:t>
      </w:r>
      <w:hyperlink r:id="rId18" w:history="1">
        <w:r w:rsidRPr="00092A3F">
          <w:rPr>
            <w:rFonts w:ascii="Times New Roman" w:hAnsi="Times New Roman"/>
            <w:color w:val="0000FF"/>
            <w:sz w:val="24"/>
            <w:szCs w:val="24"/>
            <w:u w:val="single"/>
          </w:rPr>
          <w:t>návrhu směrnice NIS2</w:t>
        </w:r>
      </w:hyperlink>
      <w:r w:rsidRPr="00092A3F">
        <w:rPr>
          <w:rFonts w:ascii="Times New Roman" w:hAnsi="Times New Roman"/>
          <w:sz w:val="24"/>
          <w:szCs w:val="24"/>
        </w:rPr>
        <w:t>. Na to by měla navazovat i konkretizace pravidel pro spolupráci mezi orgány dohledu podle nařízení eIDAS (čl. 17 a násl. návrhu).</w:t>
      </w:r>
    </w:p>
    <w:p w:rsidR="00092A3F" w:rsidRPr="00092A3F" w:rsidRDefault="00092A3F" w:rsidP="00092A3F">
      <w:pPr>
        <w:spacing w:after="0" w:line="240" w:lineRule="auto"/>
        <w:jc w:val="both"/>
        <w:rPr>
          <w:rFonts w:ascii="Times New Roman" w:eastAsia="Times New Roman" w:hAnsi="Times New Roman"/>
          <w:sz w:val="24"/>
          <w:szCs w:val="24"/>
          <w:lang w:eastAsia="cs-CZ"/>
        </w:rPr>
      </w:pPr>
    </w:p>
    <w:p w:rsidR="00092A3F" w:rsidRPr="00FD7068" w:rsidRDefault="00092A3F" w:rsidP="00FD7068">
      <w:pPr>
        <w:pStyle w:val="Odstavecseseznamem"/>
        <w:numPr>
          <w:ilvl w:val="0"/>
          <w:numId w:val="17"/>
        </w:numPr>
        <w:spacing w:after="0" w:line="240" w:lineRule="auto"/>
        <w:ind w:left="0"/>
        <w:outlineLvl w:val="0"/>
        <w:rPr>
          <w:rFonts w:ascii="Times New Roman" w:eastAsia="Times New Roman" w:hAnsi="Times New Roman"/>
          <w:b/>
          <w:sz w:val="24"/>
          <w:szCs w:val="24"/>
          <w:lang w:eastAsia="cs-CZ"/>
        </w:rPr>
      </w:pPr>
      <w:bookmarkStart w:id="11" w:name="_Toc445380612"/>
      <w:bookmarkStart w:id="12" w:name="_Toc448302191"/>
      <w:r w:rsidRPr="00FD7068">
        <w:rPr>
          <w:rFonts w:ascii="Times New Roman" w:eastAsia="Times New Roman" w:hAnsi="Times New Roman"/>
          <w:b/>
          <w:sz w:val="24"/>
          <w:szCs w:val="24"/>
          <w:lang w:eastAsia="cs-CZ"/>
        </w:rPr>
        <w:t>Stanovisko vlády ČR:</w:t>
      </w:r>
      <w:bookmarkEnd w:id="11"/>
      <w:bookmarkEnd w:id="12"/>
    </w:p>
    <w:p w:rsidR="00092A3F" w:rsidRPr="00092A3F" w:rsidRDefault="00092A3F" w:rsidP="00092A3F">
      <w:pPr>
        <w:spacing w:after="120" w:line="240" w:lineRule="auto"/>
        <w:jc w:val="both"/>
        <w:rPr>
          <w:rFonts w:ascii="Times New Roman" w:hAnsi="Times New Roman"/>
          <w:sz w:val="24"/>
          <w:szCs w:val="24"/>
        </w:rPr>
      </w:pPr>
      <w:r w:rsidRPr="00092A3F">
        <w:rPr>
          <w:rFonts w:ascii="Times New Roman" w:hAnsi="Times New Roman"/>
          <w:sz w:val="24"/>
          <w:szCs w:val="24"/>
        </w:rPr>
        <w:t>Vláda revizi nařízení eIDAS obecně vítá. Přes možné dílčí výhrady může podpořit i zavedení rámce pro evropskou digitální identitu. V souvislosti s použitím EPDI pro některé soukromé online služby však upozorňuje, že takovýto požadavek může též přenést vyšší odpovědnost na členský stát, zmiňuje příklad újmy způsobené chybnou identifikací. Bude rovněž nutné získat informace o principu fungování a akceptování EPDI soukromým sektorem např. s ohledem na možné zpoplatnění služeb autentizace pro spoléhající se strany.</w:t>
      </w:r>
    </w:p>
    <w:p w:rsidR="00092A3F" w:rsidRPr="00092A3F" w:rsidRDefault="00092A3F" w:rsidP="00092A3F">
      <w:pPr>
        <w:spacing w:after="0" w:line="240" w:lineRule="auto"/>
        <w:jc w:val="both"/>
        <w:rPr>
          <w:rFonts w:ascii="Times New Roman" w:hAnsi="Times New Roman"/>
          <w:sz w:val="24"/>
          <w:szCs w:val="24"/>
        </w:rPr>
      </w:pPr>
      <w:r w:rsidRPr="00092A3F">
        <w:rPr>
          <w:rFonts w:ascii="Times New Roman" w:hAnsi="Times New Roman"/>
          <w:sz w:val="24"/>
          <w:szCs w:val="24"/>
        </w:rPr>
        <w:t xml:space="preserve">Vláda rovněž vítá návrhy na změny v oblasti služeb vytvářejících důvěru. Oceňuje mj. větší harmonizaci dohledu nad kvalifikovanými poskytovateli služeb vytvářejících důvěru nebo </w:t>
      </w:r>
      <w:r w:rsidRPr="00092A3F">
        <w:rPr>
          <w:rFonts w:ascii="Times New Roman" w:hAnsi="Times New Roman"/>
          <w:sz w:val="24"/>
          <w:szCs w:val="24"/>
        </w:rPr>
        <w:lastRenderedPageBreak/>
        <w:t>zavedení služby správy prostředků pro vytváření elektronických podpisů/pečetí na dálku. Upozorňuje však na nutnost věnovat pozornost vztahu tohoto návrhu k </w:t>
      </w:r>
      <w:hyperlink r:id="rId19" w:history="1">
        <w:r w:rsidRPr="00092A3F">
          <w:rPr>
            <w:rFonts w:ascii="Times New Roman" w:hAnsi="Times New Roman"/>
            <w:color w:val="0000FF"/>
            <w:sz w:val="24"/>
            <w:szCs w:val="24"/>
            <w:u w:val="single"/>
          </w:rPr>
          <w:t>návrhu směrnice NIS2</w:t>
        </w:r>
      </w:hyperlink>
      <w:r w:rsidRPr="00092A3F">
        <w:rPr>
          <w:rFonts w:ascii="Times New Roman" w:hAnsi="Times New Roman"/>
          <w:sz w:val="24"/>
          <w:szCs w:val="24"/>
        </w:rPr>
        <w:t xml:space="preserve"> (směrnice o opatřeních k zajištění vysoké společné úrovně kybernetické bezpečnosti v Unii). Vláda se dále podrobně zabývá jednotlivými ustanoveními návrhu. Například zamýšlenou 12měsíční lhůtu pro implementaci EPDI členskými státy považuje za příliš krátkou i s ohledem na potřebu přijmout příslušné prováděcí akty.</w:t>
      </w:r>
    </w:p>
    <w:p w:rsidR="00092A3F" w:rsidRPr="00092A3F" w:rsidRDefault="00092A3F" w:rsidP="00092A3F">
      <w:pPr>
        <w:spacing w:after="0" w:line="240" w:lineRule="auto"/>
        <w:jc w:val="both"/>
        <w:rPr>
          <w:rFonts w:ascii="Times New Roman" w:hAnsi="Times New Roman"/>
          <w:sz w:val="24"/>
          <w:szCs w:val="24"/>
        </w:rPr>
      </w:pPr>
    </w:p>
    <w:p w:rsidR="00092A3F" w:rsidRPr="00FD7068" w:rsidRDefault="00092A3F" w:rsidP="00FD7068">
      <w:pPr>
        <w:pStyle w:val="Odstavecseseznamem"/>
        <w:numPr>
          <w:ilvl w:val="0"/>
          <w:numId w:val="17"/>
        </w:numPr>
        <w:spacing w:after="0" w:line="240" w:lineRule="auto"/>
        <w:ind w:left="0"/>
        <w:outlineLvl w:val="0"/>
        <w:rPr>
          <w:rFonts w:ascii="Times New Roman" w:eastAsia="Times New Roman" w:hAnsi="Times New Roman"/>
          <w:b/>
          <w:sz w:val="24"/>
          <w:szCs w:val="24"/>
          <w:lang w:eastAsia="cs-CZ"/>
        </w:rPr>
      </w:pPr>
      <w:bookmarkStart w:id="13" w:name="_Toc445380613"/>
      <w:bookmarkStart w:id="14" w:name="_Toc448302192"/>
      <w:r w:rsidRPr="00FD7068">
        <w:rPr>
          <w:rFonts w:ascii="Times New Roman" w:eastAsia="Times New Roman" w:hAnsi="Times New Roman"/>
          <w:b/>
          <w:sz w:val="24"/>
          <w:szCs w:val="24"/>
          <w:lang w:eastAsia="cs-CZ"/>
        </w:rPr>
        <w:t>Předpokládaný harmonogram projednávání v orgánech EU:</w:t>
      </w:r>
      <w:bookmarkEnd w:id="13"/>
      <w:bookmarkEnd w:id="14"/>
    </w:p>
    <w:p w:rsidR="00092A3F" w:rsidRPr="00092A3F" w:rsidRDefault="00092A3F" w:rsidP="00092A3F">
      <w:pPr>
        <w:spacing w:after="120" w:line="240" w:lineRule="auto"/>
        <w:jc w:val="both"/>
        <w:rPr>
          <w:rFonts w:ascii="Times New Roman" w:hAnsi="Times New Roman"/>
          <w:sz w:val="24"/>
          <w:szCs w:val="24"/>
        </w:rPr>
      </w:pPr>
      <w:r w:rsidRPr="00092A3F">
        <w:rPr>
          <w:rFonts w:ascii="Times New Roman" w:hAnsi="Times New Roman"/>
          <w:sz w:val="24"/>
          <w:szCs w:val="24"/>
        </w:rPr>
        <w:t>Jelikož se jedná o návrh projednávaný v řádném legislativním postupu, musí se na jeho závazném znění shodnout Rada a Evropský parlament. V Evropském parlamentu byl jako výbor odpovědný za projednání určen výbor pro průmysl, výzkum a energetiku (ITRE), jako zpravodajka byla určena poslankyně Romana Jerković z politické skupiny S&amp;D. Ke stanovisku byl návrh předložen rovněž výboru pro vnitřní trh a ochranu spotřebitele (IMCO), výboru pro právní záležitosti (JURI) a výboru pro občanské svobody, spravedlnost a vnitřní věci (LIBE).</w:t>
      </w:r>
    </w:p>
    <w:p w:rsidR="00092A3F" w:rsidRPr="00092A3F" w:rsidRDefault="00092A3F" w:rsidP="00092A3F">
      <w:pPr>
        <w:spacing w:after="120" w:line="240" w:lineRule="auto"/>
        <w:jc w:val="both"/>
        <w:rPr>
          <w:rFonts w:ascii="Times New Roman" w:hAnsi="Times New Roman"/>
          <w:sz w:val="24"/>
          <w:szCs w:val="24"/>
        </w:rPr>
      </w:pPr>
      <w:r w:rsidRPr="00092A3F">
        <w:rPr>
          <w:rFonts w:ascii="Times New Roman" w:hAnsi="Times New Roman"/>
          <w:sz w:val="24"/>
          <w:szCs w:val="24"/>
        </w:rPr>
        <w:t xml:space="preserve">Na půdorysu Rady se návrhem v současnosti </w:t>
      </w:r>
      <w:hyperlink r:id="rId20" w:history="1">
        <w:r w:rsidRPr="00092A3F">
          <w:rPr>
            <w:rFonts w:ascii="Times New Roman" w:hAnsi="Times New Roman"/>
            <w:color w:val="0000FF"/>
            <w:sz w:val="24"/>
            <w:szCs w:val="24"/>
            <w:u w:val="single"/>
          </w:rPr>
          <w:t>zabývají</w:t>
        </w:r>
      </w:hyperlink>
      <w:r w:rsidRPr="00092A3F">
        <w:rPr>
          <w:rFonts w:ascii="Times New Roman" w:hAnsi="Times New Roman"/>
          <w:sz w:val="24"/>
          <w:szCs w:val="24"/>
        </w:rPr>
        <w:t xml:space="preserve"> její přípravné orgány.</w:t>
      </w:r>
    </w:p>
    <w:p w:rsidR="00B4108A" w:rsidRPr="00FD7068" w:rsidRDefault="00092A3F" w:rsidP="00FD7068">
      <w:pPr>
        <w:spacing w:after="0" w:line="240" w:lineRule="auto"/>
        <w:jc w:val="both"/>
        <w:rPr>
          <w:rFonts w:ascii="Times New Roman" w:eastAsia="Times New Roman" w:hAnsi="Times New Roman"/>
          <w:sz w:val="24"/>
          <w:szCs w:val="24"/>
          <w:lang w:eastAsia="cs-CZ"/>
        </w:rPr>
      </w:pPr>
      <w:r w:rsidRPr="00092A3F">
        <w:rPr>
          <w:rFonts w:ascii="Times New Roman" w:eastAsia="Times New Roman" w:hAnsi="Times New Roman"/>
          <w:sz w:val="24"/>
          <w:szCs w:val="24"/>
          <w:lang w:eastAsia="cs-CZ"/>
        </w:rPr>
        <w:t xml:space="preserve">Projednávání návrhu nařízení je řazeno mezi prioritní procedury, ve kterých má být v tomto roce v souladu se </w:t>
      </w:r>
      <w:hyperlink r:id="rId21" w:history="1">
        <w:r w:rsidRPr="00092A3F">
          <w:rPr>
            <w:rFonts w:ascii="Times New Roman" w:eastAsia="Times New Roman" w:hAnsi="Times New Roman"/>
            <w:color w:val="0000FF"/>
            <w:sz w:val="24"/>
            <w:szCs w:val="24"/>
            <w:u w:val="single"/>
            <w:lang w:eastAsia="cs-CZ"/>
          </w:rPr>
          <w:t>společným prohlášením</w:t>
        </w:r>
      </w:hyperlink>
      <w:r w:rsidRPr="00092A3F">
        <w:rPr>
          <w:rFonts w:ascii="Times New Roman" w:eastAsia="Times New Roman" w:hAnsi="Times New Roman"/>
          <w:sz w:val="24"/>
          <w:szCs w:val="24"/>
          <w:lang w:eastAsia="cs-CZ"/>
        </w:rPr>
        <w:t xml:space="preserve"> Evropského parlamentu, Rady a Komise dosaženo podstatného pokroku.</w:t>
      </w:r>
    </w:p>
    <w:p w:rsidR="006D769E" w:rsidRDefault="006D769E" w:rsidP="006D769E">
      <w:pPr>
        <w:pStyle w:val="Odstavecseseznamem"/>
        <w:numPr>
          <w:ilvl w:val="0"/>
          <w:numId w:val="14"/>
        </w:numPr>
        <w:spacing w:before="240" w:after="0" w:line="240" w:lineRule="auto"/>
        <w:ind w:left="0"/>
        <w:outlineLvl w:val="0"/>
        <w:rPr>
          <w:rFonts w:ascii="Times New Roman" w:eastAsia="Times New Roman" w:hAnsi="Times New Roman"/>
          <w:b/>
          <w:sz w:val="24"/>
          <w:szCs w:val="20"/>
          <w:lang w:eastAsia="cs-CZ"/>
        </w:rPr>
      </w:pPr>
      <w:bookmarkStart w:id="15" w:name="_Toc448302193"/>
      <w:bookmarkStart w:id="16" w:name="_Toc445380614"/>
      <w:r>
        <w:rPr>
          <w:rFonts w:ascii="Times New Roman" w:eastAsia="Times New Roman" w:hAnsi="Times New Roman"/>
          <w:b/>
          <w:sz w:val="24"/>
          <w:szCs w:val="20"/>
          <w:lang w:eastAsia="cs-CZ"/>
        </w:rPr>
        <w:t>Závěr:</w:t>
      </w:r>
      <w:bookmarkEnd w:id="15"/>
      <w:bookmarkEnd w:id="16"/>
      <w:r>
        <w:rPr>
          <w:rFonts w:ascii="Times New Roman" w:eastAsia="Times New Roman" w:hAnsi="Times New Roman"/>
          <w:b/>
          <w:sz w:val="24"/>
          <w:szCs w:val="20"/>
          <w:lang w:eastAsia="cs-CZ"/>
        </w:rPr>
        <w:t xml:space="preserve"> </w:t>
      </w:r>
    </w:p>
    <w:p w:rsidR="006D769E" w:rsidRDefault="006D769E" w:rsidP="006D769E">
      <w:pPr>
        <w:spacing w:after="0" w:line="240" w:lineRule="auto"/>
        <w:jc w:val="both"/>
        <w:rPr>
          <w:rFonts w:ascii="Times New Roman" w:hAnsi="Times New Roman"/>
          <w:sz w:val="24"/>
        </w:rPr>
      </w:pPr>
    </w:p>
    <w:p w:rsidR="006D769E" w:rsidRDefault="006D769E" w:rsidP="006D769E">
      <w:pPr>
        <w:spacing w:after="0" w:line="240" w:lineRule="auto"/>
        <w:rPr>
          <w:rFonts w:ascii="Times New Roman" w:eastAsia="Times New Roman" w:hAnsi="Times New Roman"/>
          <w:iCs/>
          <w:sz w:val="24"/>
          <w:szCs w:val="20"/>
          <w:lang w:eastAsia="cs-CZ"/>
        </w:rPr>
      </w:pPr>
      <w:r>
        <w:rPr>
          <w:rFonts w:ascii="Times New Roman" w:eastAsia="Times New Roman" w:hAnsi="Times New Roman"/>
          <w:iCs/>
          <w:sz w:val="24"/>
          <w:szCs w:val="20"/>
          <w:lang w:eastAsia="cs-CZ"/>
        </w:rPr>
        <w:t>Výbor pro evropské záležitosti</w:t>
      </w:r>
    </w:p>
    <w:p w:rsidR="006D769E" w:rsidRDefault="006D769E" w:rsidP="006D769E">
      <w:pPr>
        <w:spacing w:after="0" w:line="240" w:lineRule="auto"/>
        <w:rPr>
          <w:rFonts w:ascii="Times New Roman" w:eastAsia="Times New Roman" w:hAnsi="Times New Roman"/>
          <w:i/>
          <w:iCs/>
          <w:sz w:val="24"/>
          <w:szCs w:val="20"/>
          <w:lang w:eastAsia="cs-CZ"/>
        </w:rPr>
      </w:pPr>
    </w:p>
    <w:p w:rsidR="00B4108A" w:rsidRDefault="006D769E" w:rsidP="00DC38B4">
      <w:pPr>
        <w:keepNext/>
        <w:keepLines/>
        <w:numPr>
          <w:ilvl w:val="0"/>
          <w:numId w:val="15"/>
        </w:numPr>
        <w:suppressAutoHyphens/>
        <w:autoSpaceDN w:val="0"/>
        <w:spacing w:line="252" w:lineRule="auto"/>
        <w:jc w:val="both"/>
        <w:textAlignment w:val="baseline"/>
        <w:rPr>
          <w:rFonts w:ascii="Times New Roman" w:hAnsi="Times New Roman"/>
          <w:sz w:val="24"/>
        </w:rPr>
      </w:pPr>
      <w:r>
        <w:rPr>
          <w:rFonts w:ascii="Times New Roman" w:hAnsi="Times New Roman"/>
          <w:b/>
          <w:spacing w:val="60"/>
          <w:sz w:val="24"/>
        </w:rPr>
        <w:t xml:space="preserve">bere na vědomí </w:t>
      </w:r>
      <w:r w:rsidR="00DC38B4">
        <w:rPr>
          <w:rFonts w:ascii="Times New Roman" w:hAnsi="Times New Roman"/>
          <w:sz w:val="24"/>
        </w:rPr>
        <w:t>návrh</w:t>
      </w:r>
      <w:r w:rsidR="00DC38B4" w:rsidRPr="00DC38B4">
        <w:rPr>
          <w:rFonts w:ascii="Times New Roman" w:hAnsi="Times New Roman"/>
          <w:sz w:val="24"/>
        </w:rPr>
        <w:t xml:space="preserve"> nařízení Evropského parlamentu a Rady, kterým se mění nařízení (EU) č. 910/2014, pokud jde o zřízení rámce pro evropskou digitální identitu /kód Rady 9471/21, KOM(2021) 281 v konečném znění/</w:t>
      </w:r>
      <w:r w:rsidR="00DC38B4">
        <w:rPr>
          <w:rFonts w:ascii="Times New Roman" w:hAnsi="Times New Roman"/>
          <w:sz w:val="24"/>
        </w:rPr>
        <w:t xml:space="preserve"> a rámcovou pozici vlády k němu.</w:t>
      </w:r>
    </w:p>
    <w:p w:rsidR="00FD7068" w:rsidRDefault="00FD7068" w:rsidP="00FD7068">
      <w:pPr>
        <w:keepNext/>
        <w:keepLines/>
        <w:suppressAutoHyphens/>
        <w:autoSpaceDN w:val="0"/>
        <w:spacing w:line="252" w:lineRule="auto"/>
        <w:jc w:val="both"/>
        <w:textAlignment w:val="baseline"/>
        <w:rPr>
          <w:rFonts w:ascii="Times New Roman" w:hAnsi="Times New Roman"/>
          <w:sz w:val="24"/>
        </w:rPr>
      </w:pPr>
    </w:p>
    <w:p w:rsidR="00E56904" w:rsidRDefault="00E56904" w:rsidP="00FD7068">
      <w:pPr>
        <w:keepNext/>
        <w:keepLines/>
        <w:suppressAutoHyphens/>
        <w:autoSpaceDN w:val="0"/>
        <w:spacing w:line="252" w:lineRule="auto"/>
        <w:jc w:val="both"/>
        <w:textAlignment w:val="baseline"/>
        <w:rPr>
          <w:rFonts w:ascii="Times New Roman" w:hAnsi="Times New Roman"/>
          <w:sz w:val="24"/>
        </w:rPr>
      </w:pPr>
    </w:p>
    <w:p w:rsidR="00E56904" w:rsidRDefault="00E56904" w:rsidP="00FD7068">
      <w:pPr>
        <w:keepNext/>
        <w:keepLines/>
        <w:suppressAutoHyphens/>
        <w:autoSpaceDN w:val="0"/>
        <w:spacing w:line="252" w:lineRule="auto"/>
        <w:jc w:val="both"/>
        <w:textAlignment w:val="baseline"/>
        <w:rPr>
          <w:rFonts w:ascii="Times New Roman" w:hAnsi="Times New Roman"/>
          <w:sz w:val="24"/>
        </w:rPr>
      </w:pPr>
    </w:p>
    <w:p w:rsidR="00FD7068" w:rsidRDefault="00FD7068" w:rsidP="00FD7068">
      <w:pPr>
        <w:keepNext/>
        <w:keepLines/>
        <w:suppressAutoHyphens/>
        <w:autoSpaceDN w:val="0"/>
        <w:spacing w:line="252" w:lineRule="auto"/>
        <w:jc w:val="both"/>
        <w:textAlignment w:val="baseline"/>
        <w:rPr>
          <w:rFonts w:ascii="Times New Roman" w:hAnsi="Times New Roman"/>
          <w:sz w:val="24"/>
        </w:rPr>
      </w:pPr>
    </w:p>
    <w:p w:rsidR="00E56904" w:rsidRPr="00106842" w:rsidRDefault="00FD7068" w:rsidP="00E56904">
      <w:pPr>
        <w:keepNext/>
        <w:tabs>
          <w:tab w:val="center" w:pos="1701"/>
          <w:tab w:val="center" w:pos="4536"/>
          <w:tab w:val="center" w:pos="7371"/>
        </w:tabs>
        <w:spacing w:before="1000" w:after="0" w:line="240" w:lineRule="auto"/>
        <w:rPr>
          <w:rFonts w:ascii="Times New Roman" w:hAnsi="Times New Roman"/>
          <w:sz w:val="24"/>
        </w:rPr>
      </w:pPr>
      <w:r w:rsidRPr="00106842">
        <w:rPr>
          <w:rFonts w:ascii="Times New Roman" w:hAnsi="Times New Roman"/>
          <w:sz w:val="24"/>
        </w:rPr>
        <w:tab/>
      </w:r>
      <w:r w:rsidR="00E56904">
        <w:rPr>
          <w:rFonts w:ascii="Times New Roman" w:hAnsi="Times New Roman"/>
          <w:sz w:val="24"/>
        </w:rPr>
        <w:t>Ondřej Veselý</w:t>
      </w:r>
      <w:r w:rsidR="00C20A0D">
        <w:rPr>
          <w:rFonts w:ascii="Times New Roman" w:hAnsi="Times New Roman"/>
          <w:sz w:val="24"/>
        </w:rPr>
        <w:t xml:space="preserve"> v. r.</w:t>
      </w:r>
      <w:r w:rsidR="00E56904" w:rsidRPr="00106842">
        <w:rPr>
          <w:rFonts w:ascii="Times New Roman" w:hAnsi="Times New Roman"/>
          <w:sz w:val="24"/>
        </w:rPr>
        <w:tab/>
        <w:t xml:space="preserve"> </w:t>
      </w:r>
      <w:r w:rsidR="00E56904">
        <w:rPr>
          <w:rFonts w:ascii="Times New Roman" w:hAnsi="Times New Roman"/>
          <w:sz w:val="24"/>
        </w:rPr>
        <w:tab/>
        <w:t xml:space="preserve">Lukáš Černohorský </w:t>
      </w:r>
      <w:r w:rsidR="00C20A0D">
        <w:rPr>
          <w:rFonts w:ascii="Times New Roman" w:hAnsi="Times New Roman"/>
          <w:sz w:val="24"/>
        </w:rPr>
        <w:t>v. r.</w:t>
      </w:r>
    </w:p>
    <w:p w:rsidR="00E56904" w:rsidRPr="00106842" w:rsidRDefault="00E56904" w:rsidP="00E56904">
      <w:pPr>
        <w:keepNext/>
        <w:tabs>
          <w:tab w:val="center" w:pos="1701"/>
          <w:tab w:val="center" w:pos="4536"/>
          <w:tab w:val="center" w:pos="7371"/>
        </w:tabs>
        <w:spacing w:after="0" w:line="240" w:lineRule="auto"/>
        <w:rPr>
          <w:rFonts w:ascii="Times New Roman" w:hAnsi="Times New Roman"/>
          <w:sz w:val="24"/>
        </w:rPr>
      </w:pPr>
      <w:r w:rsidRPr="00106842">
        <w:rPr>
          <w:rFonts w:ascii="Times New Roman" w:hAnsi="Times New Roman"/>
          <w:sz w:val="24"/>
        </w:rPr>
        <w:tab/>
      </w:r>
      <w:r>
        <w:rPr>
          <w:rFonts w:ascii="Times New Roman" w:hAnsi="Times New Roman"/>
          <w:sz w:val="24"/>
        </w:rPr>
        <w:t>o</w:t>
      </w:r>
      <w:r w:rsidRPr="00106842">
        <w:rPr>
          <w:rFonts w:ascii="Times New Roman" w:hAnsi="Times New Roman"/>
          <w:sz w:val="24"/>
        </w:rPr>
        <w:t>věřovatel</w:t>
      </w:r>
      <w:r w:rsidRPr="00106842">
        <w:rPr>
          <w:rFonts w:ascii="Times New Roman" w:hAnsi="Times New Roman"/>
          <w:sz w:val="24"/>
        </w:rPr>
        <w:tab/>
      </w:r>
      <w:r w:rsidRPr="00106842">
        <w:rPr>
          <w:rFonts w:ascii="Times New Roman" w:hAnsi="Times New Roman"/>
          <w:sz w:val="24"/>
        </w:rPr>
        <w:tab/>
        <w:t>zpravodaj</w:t>
      </w:r>
    </w:p>
    <w:p w:rsidR="00E56904" w:rsidRPr="00254049" w:rsidRDefault="00E56904" w:rsidP="00E56904">
      <w:pPr>
        <w:tabs>
          <w:tab w:val="center" w:pos="1701"/>
          <w:tab w:val="center" w:pos="4536"/>
          <w:tab w:val="center" w:pos="7371"/>
        </w:tabs>
        <w:spacing w:before="1000" w:after="0" w:line="240" w:lineRule="auto"/>
        <w:rPr>
          <w:rFonts w:ascii="Times New Roman" w:hAnsi="Times New Roman"/>
          <w:caps/>
          <w:sz w:val="24"/>
        </w:rPr>
      </w:pPr>
      <w:r w:rsidRPr="00106842">
        <w:rPr>
          <w:rFonts w:ascii="Times New Roman" w:hAnsi="Times New Roman"/>
          <w:sz w:val="24"/>
        </w:rPr>
        <w:tab/>
      </w:r>
      <w:r w:rsidRPr="00106842">
        <w:rPr>
          <w:rFonts w:ascii="Times New Roman" w:hAnsi="Times New Roman"/>
          <w:sz w:val="24"/>
        </w:rPr>
        <w:tab/>
      </w:r>
      <w:r>
        <w:rPr>
          <w:rFonts w:ascii="Times New Roman" w:hAnsi="Times New Roman"/>
          <w:sz w:val="24"/>
        </w:rPr>
        <w:t>František Kopřiva</w:t>
      </w:r>
      <w:r w:rsidRPr="00106842">
        <w:rPr>
          <w:rFonts w:ascii="Times New Roman" w:hAnsi="Times New Roman"/>
          <w:sz w:val="24"/>
        </w:rPr>
        <w:t xml:space="preserve"> </w:t>
      </w:r>
      <w:r w:rsidR="00C20A0D">
        <w:rPr>
          <w:rFonts w:ascii="Times New Roman" w:hAnsi="Times New Roman"/>
          <w:sz w:val="24"/>
        </w:rPr>
        <w:t>v. r.</w:t>
      </w:r>
      <w:bookmarkStart w:id="17" w:name="_GoBack"/>
      <w:bookmarkEnd w:id="17"/>
    </w:p>
    <w:p w:rsidR="00E56904" w:rsidRDefault="00E56904" w:rsidP="00E56904">
      <w:pPr>
        <w:tabs>
          <w:tab w:val="center" w:pos="1701"/>
          <w:tab w:val="center" w:pos="4536"/>
          <w:tab w:val="center" w:pos="7371"/>
        </w:tabs>
        <w:spacing w:after="0" w:line="240" w:lineRule="auto"/>
        <w:rPr>
          <w:rFonts w:ascii="Times New Roman" w:hAnsi="Times New Roman"/>
          <w:sz w:val="24"/>
        </w:rPr>
      </w:pPr>
      <w:r w:rsidRPr="00106842">
        <w:rPr>
          <w:rFonts w:ascii="Times New Roman" w:hAnsi="Times New Roman"/>
          <w:sz w:val="24"/>
        </w:rPr>
        <w:tab/>
      </w:r>
      <w:r w:rsidRPr="00106842">
        <w:rPr>
          <w:rFonts w:ascii="Times New Roman" w:hAnsi="Times New Roman"/>
          <w:sz w:val="24"/>
        </w:rPr>
        <w:tab/>
      </w:r>
      <w:r>
        <w:rPr>
          <w:rFonts w:ascii="Times New Roman" w:hAnsi="Times New Roman"/>
          <w:sz w:val="24"/>
        </w:rPr>
        <w:t>místop</w:t>
      </w:r>
      <w:r w:rsidRPr="00106842">
        <w:rPr>
          <w:rFonts w:ascii="Times New Roman" w:hAnsi="Times New Roman"/>
          <w:sz w:val="24"/>
        </w:rPr>
        <w:t>ř</w:t>
      </w:r>
      <w:r>
        <w:rPr>
          <w:rFonts w:ascii="Times New Roman" w:hAnsi="Times New Roman"/>
          <w:sz w:val="24"/>
        </w:rPr>
        <w:t>e</w:t>
      </w:r>
      <w:r w:rsidRPr="00106842">
        <w:rPr>
          <w:rFonts w:ascii="Times New Roman" w:hAnsi="Times New Roman"/>
          <w:sz w:val="24"/>
        </w:rPr>
        <w:t>dseda</w:t>
      </w:r>
    </w:p>
    <w:p w:rsidR="00FD7068" w:rsidRDefault="00FD7068" w:rsidP="00E56904">
      <w:pPr>
        <w:keepNext/>
        <w:tabs>
          <w:tab w:val="center" w:pos="1701"/>
          <w:tab w:val="center" w:pos="4536"/>
          <w:tab w:val="center" w:pos="7371"/>
        </w:tabs>
        <w:spacing w:before="1000" w:after="0" w:line="240" w:lineRule="auto"/>
        <w:rPr>
          <w:rFonts w:ascii="Times New Roman" w:hAnsi="Times New Roman"/>
          <w:sz w:val="24"/>
        </w:rPr>
      </w:pPr>
    </w:p>
    <w:p w:rsidR="00FD7068" w:rsidRDefault="00FD7068" w:rsidP="00FD7068">
      <w:pPr>
        <w:keepNext/>
        <w:keepLines/>
        <w:suppressAutoHyphens/>
        <w:autoSpaceDN w:val="0"/>
        <w:spacing w:line="252" w:lineRule="auto"/>
        <w:jc w:val="both"/>
        <w:textAlignment w:val="baseline"/>
        <w:rPr>
          <w:rFonts w:ascii="Times New Roman" w:hAnsi="Times New Roman"/>
          <w:sz w:val="24"/>
        </w:rPr>
      </w:pPr>
    </w:p>
    <w:sectPr w:rsidR="00FD7068" w:rsidSect="00563B5A">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B5A" w:rsidRDefault="00563B5A" w:rsidP="00563B5A">
      <w:pPr>
        <w:spacing w:after="0" w:line="240" w:lineRule="auto"/>
      </w:pPr>
      <w:r>
        <w:separator/>
      </w:r>
    </w:p>
  </w:endnote>
  <w:endnote w:type="continuationSeparator" w:id="0">
    <w:p w:rsidR="00563B5A" w:rsidRDefault="00563B5A" w:rsidP="0056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652567428"/>
      <w:docPartObj>
        <w:docPartGallery w:val="Page Numbers (Bottom of Page)"/>
        <w:docPartUnique/>
      </w:docPartObj>
    </w:sdtPr>
    <w:sdtEndPr/>
    <w:sdtContent>
      <w:p w:rsidR="00563B5A" w:rsidRPr="00563B5A" w:rsidRDefault="00563B5A">
        <w:pPr>
          <w:pStyle w:val="Zpat"/>
          <w:jc w:val="center"/>
          <w:rPr>
            <w:rFonts w:ascii="Times New Roman" w:hAnsi="Times New Roman"/>
            <w:sz w:val="24"/>
            <w:szCs w:val="24"/>
          </w:rPr>
        </w:pPr>
        <w:r w:rsidRPr="00563B5A">
          <w:rPr>
            <w:rFonts w:ascii="Times New Roman" w:hAnsi="Times New Roman"/>
            <w:sz w:val="24"/>
            <w:szCs w:val="24"/>
          </w:rPr>
          <w:fldChar w:fldCharType="begin"/>
        </w:r>
        <w:r w:rsidRPr="00563B5A">
          <w:rPr>
            <w:rFonts w:ascii="Times New Roman" w:hAnsi="Times New Roman"/>
            <w:sz w:val="24"/>
            <w:szCs w:val="24"/>
          </w:rPr>
          <w:instrText>PAGE   \* MERGEFORMAT</w:instrText>
        </w:r>
        <w:r w:rsidRPr="00563B5A">
          <w:rPr>
            <w:rFonts w:ascii="Times New Roman" w:hAnsi="Times New Roman"/>
            <w:sz w:val="24"/>
            <w:szCs w:val="24"/>
          </w:rPr>
          <w:fldChar w:fldCharType="separate"/>
        </w:r>
        <w:r w:rsidR="00C20A0D">
          <w:rPr>
            <w:rFonts w:ascii="Times New Roman" w:hAnsi="Times New Roman"/>
            <w:noProof/>
            <w:sz w:val="24"/>
            <w:szCs w:val="24"/>
          </w:rPr>
          <w:t>5</w:t>
        </w:r>
        <w:r w:rsidRPr="00563B5A">
          <w:rPr>
            <w:rFonts w:ascii="Times New Roman" w:hAnsi="Times New Roman"/>
            <w:sz w:val="24"/>
            <w:szCs w:val="24"/>
          </w:rPr>
          <w:fldChar w:fldCharType="end"/>
        </w:r>
      </w:p>
    </w:sdtContent>
  </w:sdt>
  <w:p w:rsidR="00563B5A" w:rsidRDefault="00563B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B5A" w:rsidRDefault="00563B5A" w:rsidP="00563B5A">
      <w:pPr>
        <w:spacing w:after="0" w:line="240" w:lineRule="auto"/>
      </w:pPr>
      <w:r>
        <w:separator/>
      </w:r>
    </w:p>
  </w:footnote>
  <w:footnote w:type="continuationSeparator" w:id="0">
    <w:p w:rsidR="00563B5A" w:rsidRDefault="00563B5A" w:rsidP="00563B5A">
      <w:pPr>
        <w:spacing w:after="0" w:line="240" w:lineRule="auto"/>
      </w:pPr>
      <w:r>
        <w:continuationSeparator/>
      </w:r>
    </w:p>
  </w:footnote>
  <w:footnote w:id="1">
    <w:p w:rsidR="00092A3F" w:rsidRPr="00FD7068" w:rsidRDefault="00092A3F" w:rsidP="00092A3F">
      <w:pPr>
        <w:pStyle w:val="Textpoznpodarou"/>
        <w:jc w:val="both"/>
        <w:rPr>
          <w:rFonts w:ascii="Times New Roman" w:hAnsi="Times New Roman"/>
        </w:rPr>
      </w:pPr>
      <w:r w:rsidRPr="00FD7068">
        <w:rPr>
          <w:rStyle w:val="Znakapoznpodarou"/>
          <w:rFonts w:ascii="Times New Roman" w:hAnsi="Times New Roman"/>
        </w:rPr>
        <w:footnoteRef/>
      </w:r>
      <w:r w:rsidRPr="00FD7068">
        <w:rPr>
          <w:rFonts w:ascii="Times New Roman" w:hAnsi="Times New Roman"/>
        </w:rPr>
        <w:t xml:space="preserve"> V zájmu přehlednosti je odkazováno na ustanovení nařízení eIDAS ve znění navržených změn, nikoli novelizačního textu návrhu jako takového.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8225F2"/>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1FA405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3208CFE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6BA8939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57C9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2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3ACC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0E82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4BEA8"/>
    <w:lvl w:ilvl="0">
      <w:start w:val="1"/>
      <w:numFmt w:val="upperRoman"/>
      <w:pStyle w:val="slovanseznam"/>
      <w:lvlText w:val="%1."/>
      <w:lvlJc w:val="left"/>
      <w:pPr>
        <w:ind w:left="360" w:hanging="360"/>
      </w:pPr>
      <w:rPr>
        <w:rFonts w:hint="default"/>
      </w:rPr>
    </w:lvl>
  </w:abstractNum>
  <w:abstractNum w:abstractNumId="9" w15:restartNumberingAfterBreak="0">
    <w:nsid w:val="FFFFFF89"/>
    <w:multiLevelType w:val="singleLevel"/>
    <w:tmpl w:val="1F2AE5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14B8C"/>
    <w:multiLevelType w:val="hybridMultilevel"/>
    <w:tmpl w:val="146CBBA6"/>
    <w:lvl w:ilvl="0" w:tplc="A7DC4C58">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658F2"/>
    <w:multiLevelType w:val="hybridMultilevel"/>
    <w:tmpl w:val="9D601508"/>
    <w:lvl w:ilvl="0" w:tplc="A7DC4C58">
      <w:start w:val="1"/>
      <w:numFmt w:val="upperRoman"/>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16A5FF0"/>
    <w:multiLevelType w:val="hybridMultilevel"/>
    <w:tmpl w:val="A43ADBCA"/>
    <w:lvl w:ilvl="0" w:tplc="5A0CF2E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3557763E"/>
    <w:multiLevelType w:val="hybridMultilevel"/>
    <w:tmpl w:val="D30AD32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3B4E6877"/>
    <w:multiLevelType w:val="hybridMultilevel"/>
    <w:tmpl w:val="7C74D018"/>
    <w:lvl w:ilvl="0" w:tplc="AAB6B2BC">
      <w:start w:val="1"/>
      <w:numFmt w:val="upperRoman"/>
      <w:pStyle w:val="PS-slovanseznam"/>
      <w:lvlText w:val="%1."/>
      <w:lvlJc w:val="left"/>
      <w:pPr>
        <w:ind w:left="4046" w:hanging="360"/>
      </w:pPr>
      <w:rPr>
        <w:rFonts w:hint="default"/>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5" w15:restartNumberingAfterBreak="0">
    <w:nsid w:val="452C60E0"/>
    <w:multiLevelType w:val="hybridMultilevel"/>
    <w:tmpl w:val="7688DAD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6" w15:restartNumberingAfterBreak="0">
    <w:nsid w:val="66B616AD"/>
    <w:multiLevelType w:val="hybridMultilevel"/>
    <w:tmpl w:val="51BE34E2"/>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00376BA"/>
    <w:multiLevelType w:val="hybridMultilevel"/>
    <w:tmpl w:val="42702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1"/>
  </w:num>
  <w:num w:numId="8">
    <w:abstractNumId w:val="10"/>
  </w:num>
  <w:num w:numId="9">
    <w:abstractNumId w:val="4"/>
  </w:num>
  <w:num w:numId="10">
    <w:abstractNumId w:val="5"/>
  </w:num>
  <w:num w:numId="11">
    <w:abstractNumId w:val="6"/>
  </w:num>
  <w:num w:numId="12">
    <w:abstractNumId w:val="7"/>
  </w:num>
  <w:num w:numId="13">
    <w:abstractNumId w:val="9"/>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20"/>
    <w:rsid w:val="000476E4"/>
    <w:rsid w:val="00067407"/>
    <w:rsid w:val="00092A3F"/>
    <w:rsid w:val="00093E8B"/>
    <w:rsid w:val="000C5278"/>
    <w:rsid w:val="000E730C"/>
    <w:rsid w:val="00103C04"/>
    <w:rsid w:val="00106842"/>
    <w:rsid w:val="00136646"/>
    <w:rsid w:val="001B45F3"/>
    <w:rsid w:val="001E6E20"/>
    <w:rsid w:val="00230024"/>
    <w:rsid w:val="00254049"/>
    <w:rsid w:val="00272E1B"/>
    <w:rsid w:val="00272F0E"/>
    <w:rsid w:val="002A2F32"/>
    <w:rsid w:val="002B0FB6"/>
    <w:rsid w:val="002B60B3"/>
    <w:rsid w:val="002C6BED"/>
    <w:rsid w:val="002F5F4A"/>
    <w:rsid w:val="00356011"/>
    <w:rsid w:val="00377253"/>
    <w:rsid w:val="003A0FC0"/>
    <w:rsid w:val="003A1DF9"/>
    <w:rsid w:val="003D2033"/>
    <w:rsid w:val="004101C6"/>
    <w:rsid w:val="00451B28"/>
    <w:rsid w:val="005227BF"/>
    <w:rsid w:val="00563B5A"/>
    <w:rsid w:val="00566A4C"/>
    <w:rsid w:val="00594D80"/>
    <w:rsid w:val="00597608"/>
    <w:rsid w:val="005C30D7"/>
    <w:rsid w:val="005E094C"/>
    <w:rsid w:val="005F6CAE"/>
    <w:rsid w:val="0061035F"/>
    <w:rsid w:val="00620764"/>
    <w:rsid w:val="00630AC0"/>
    <w:rsid w:val="00656C37"/>
    <w:rsid w:val="006D769E"/>
    <w:rsid w:val="00730604"/>
    <w:rsid w:val="007468D0"/>
    <w:rsid w:val="007C62DA"/>
    <w:rsid w:val="007D5EE1"/>
    <w:rsid w:val="007E1D0B"/>
    <w:rsid w:val="00812496"/>
    <w:rsid w:val="00830BFE"/>
    <w:rsid w:val="00893C29"/>
    <w:rsid w:val="00903269"/>
    <w:rsid w:val="009819ED"/>
    <w:rsid w:val="00A46CDA"/>
    <w:rsid w:val="00A64D82"/>
    <w:rsid w:val="00A764B6"/>
    <w:rsid w:val="00A93982"/>
    <w:rsid w:val="00AA0D27"/>
    <w:rsid w:val="00B13892"/>
    <w:rsid w:val="00B4108A"/>
    <w:rsid w:val="00B53E8D"/>
    <w:rsid w:val="00B715B6"/>
    <w:rsid w:val="00BA00F3"/>
    <w:rsid w:val="00BA0357"/>
    <w:rsid w:val="00C20A0D"/>
    <w:rsid w:val="00C56014"/>
    <w:rsid w:val="00CB4BFF"/>
    <w:rsid w:val="00D066DF"/>
    <w:rsid w:val="00D46ACA"/>
    <w:rsid w:val="00D76FB3"/>
    <w:rsid w:val="00DC29E4"/>
    <w:rsid w:val="00DC38B4"/>
    <w:rsid w:val="00DF2AC4"/>
    <w:rsid w:val="00E46EFB"/>
    <w:rsid w:val="00E56904"/>
    <w:rsid w:val="00ED15A8"/>
    <w:rsid w:val="00EF0C30"/>
    <w:rsid w:val="00EF3B15"/>
    <w:rsid w:val="00EF679B"/>
    <w:rsid w:val="00F655EF"/>
    <w:rsid w:val="00FB7B18"/>
    <w:rsid w:val="00FD7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0BD0"/>
  <w15:docId w15:val="{981AD0A8-DDD3-4415-B84B-B1D7F66B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0FB6"/>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hlavika1">
    <w:name w:val="PS-hlavička 1"/>
    <w:basedOn w:val="Normln"/>
    <w:next w:val="Bezmezer"/>
    <w:qFormat/>
    <w:rsid w:val="00377253"/>
    <w:pPr>
      <w:spacing w:after="0" w:line="240" w:lineRule="auto"/>
      <w:jc w:val="center"/>
    </w:pPr>
    <w:rPr>
      <w:rFonts w:ascii="Times New Roman" w:hAnsi="Times New Roman"/>
      <w:b/>
      <w:i/>
      <w:sz w:val="24"/>
    </w:rPr>
  </w:style>
  <w:style w:type="paragraph" w:customStyle="1" w:styleId="PS-hlavika2">
    <w:name w:val="PS-hlavička 2"/>
    <w:basedOn w:val="Normln"/>
    <w:next w:val="PS-hlavika1"/>
    <w:qFormat/>
    <w:rsid w:val="00103C04"/>
    <w:pPr>
      <w:spacing w:after="0" w:line="240" w:lineRule="auto"/>
      <w:jc w:val="center"/>
    </w:pPr>
    <w:rPr>
      <w:rFonts w:ascii="Times New Roman" w:hAnsi="Times New Roman"/>
      <w:b/>
      <w:i/>
      <w:caps/>
      <w:sz w:val="36"/>
    </w:rPr>
  </w:style>
  <w:style w:type="paragraph" w:customStyle="1" w:styleId="PS-slousnesen">
    <w:name w:val="PS-číslo usnesení"/>
    <w:basedOn w:val="Normln"/>
    <w:next w:val="Bezmezer"/>
    <w:qFormat/>
    <w:rsid w:val="000E730C"/>
    <w:pPr>
      <w:spacing w:before="360" w:after="360" w:line="240" w:lineRule="auto"/>
      <w:jc w:val="center"/>
    </w:pPr>
    <w:rPr>
      <w:rFonts w:ascii="Times New Roman" w:hAnsi="Times New Roman"/>
      <w:b/>
      <w:i/>
      <w:sz w:val="24"/>
    </w:rPr>
  </w:style>
  <w:style w:type="paragraph" w:customStyle="1" w:styleId="PS-hlavika3">
    <w:name w:val="PS-hlavička 3"/>
    <w:basedOn w:val="Normln"/>
    <w:next w:val="PS-hlavika1"/>
    <w:qFormat/>
    <w:rsid w:val="00103C04"/>
    <w:pPr>
      <w:spacing w:after="0" w:line="240" w:lineRule="auto"/>
      <w:jc w:val="center"/>
    </w:pPr>
    <w:rPr>
      <w:rFonts w:ascii="Times New Roman" w:hAnsi="Times New Roman"/>
      <w:b/>
      <w:i/>
      <w:caps/>
      <w:sz w:val="32"/>
    </w:rPr>
  </w:style>
  <w:style w:type="paragraph" w:styleId="Bezmezer">
    <w:name w:val="No Spacing"/>
    <w:uiPriority w:val="1"/>
    <w:qFormat/>
    <w:rsid w:val="000E730C"/>
    <w:rPr>
      <w:sz w:val="22"/>
      <w:szCs w:val="22"/>
      <w:lang w:eastAsia="en-US"/>
    </w:rPr>
  </w:style>
  <w:style w:type="paragraph" w:customStyle="1" w:styleId="PS-pedmtusnesen">
    <w:name w:val="PS-předmět usnesení"/>
    <w:basedOn w:val="Normln"/>
    <w:next w:val="PS-uvodnodstavec"/>
    <w:qFormat/>
    <w:rsid w:val="000476E4"/>
    <w:pPr>
      <w:pBdr>
        <w:bottom w:val="single" w:sz="4" w:space="12" w:color="auto"/>
      </w:pBdr>
      <w:spacing w:before="240" w:after="400" w:line="240" w:lineRule="auto"/>
      <w:jc w:val="center"/>
    </w:pPr>
    <w:rPr>
      <w:rFonts w:ascii="Times New Roman" w:hAnsi="Times New Roman"/>
      <w:sz w:val="24"/>
    </w:rPr>
  </w:style>
  <w:style w:type="paragraph" w:styleId="Normlnweb">
    <w:name w:val="Normal (Web)"/>
    <w:basedOn w:val="Normln"/>
    <w:uiPriority w:val="99"/>
    <w:semiHidden/>
    <w:unhideWhenUsed/>
    <w:rsid w:val="00D76FB3"/>
    <w:pPr>
      <w:spacing w:before="100" w:beforeAutospacing="1" w:after="119" w:line="240" w:lineRule="auto"/>
    </w:pPr>
    <w:rPr>
      <w:rFonts w:ascii="Times New Roman" w:eastAsia="Times New Roman" w:hAnsi="Times New Roman"/>
      <w:sz w:val="24"/>
      <w:szCs w:val="24"/>
      <w:lang w:eastAsia="cs-CZ"/>
    </w:rPr>
  </w:style>
  <w:style w:type="paragraph" w:customStyle="1" w:styleId="PS-rovkd">
    <w:name w:val="PS-čárový kód"/>
    <w:basedOn w:val="Normlnweb"/>
    <w:qFormat/>
    <w:rsid w:val="007C62DA"/>
    <w:pPr>
      <w:spacing w:before="120" w:beforeAutospacing="0" w:after="400"/>
      <w:jc w:val="right"/>
    </w:pPr>
  </w:style>
  <w:style w:type="paragraph" w:customStyle="1" w:styleId="PS-uvodnodstavec">
    <w:name w:val="PS-uvodní odstavec"/>
    <w:basedOn w:val="Normln"/>
    <w:next w:val="Normln"/>
    <w:qFormat/>
    <w:rsid w:val="005E094C"/>
    <w:pPr>
      <w:spacing w:after="360"/>
      <w:ind w:firstLine="709"/>
      <w:jc w:val="both"/>
    </w:pPr>
    <w:rPr>
      <w:rFonts w:ascii="Times New Roman" w:hAnsi="Times New Roman"/>
      <w:sz w:val="24"/>
    </w:rPr>
  </w:style>
  <w:style w:type="paragraph" w:styleId="slovanseznam2">
    <w:name w:val="List Number 2"/>
    <w:basedOn w:val="Normln"/>
    <w:uiPriority w:val="99"/>
    <w:unhideWhenUsed/>
    <w:rsid w:val="00A46CDA"/>
    <w:pPr>
      <w:numPr>
        <w:numId w:val="2"/>
      </w:numPr>
      <w:contextualSpacing/>
    </w:pPr>
  </w:style>
  <w:style w:type="paragraph" w:styleId="slovanseznam3">
    <w:name w:val="List Number 3"/>
    <w:basedOn w:val="Normln"/>
    <w:uiPriority w:val="99"/>
    <w:unhideWhenUsed/>
    <w:rsid w:val="00A46CDA"/>
    <w:pPr>
      <w:numPr>
        <w:numId w:val="3"/>
      </w:numPr>
      <w:contextualSpacing/>
    </w:pPr>
  </w:style>
  <w:style w:type="paragraph" w:styleId="slovanseznam4">
    <w:name w:val="List Number 4"/>
    <w:basedOn w:val="Normln"/>
    <w:uiPriority w:val="99"/>
    <w:unhideWhenUsed/>
    <w:rsid w:val="00A46CDA"/>
    <w:pPr>
      <w:numPr>
        <w:numId w:val="4"/>
      </w:numPr>
      <w:contextualSpacing/>
    </w:pPr>
  </w:style>
  <w:style w:type="paragraph" w:styleId="slovanseznam5">
    <w:name w:val="List Number 5"/>
    <w:basedOn w:val="Normln"/>
    <w:uiPriority w:val="99"/>
    <w:unhideWhenUsed/>
    <w:rsid w:val="00A46CDA"/>
    <w:pPr>
      <w:numPr>
        <w:numId w:val="5"/>
      </w:numPr>
      <w:contextualSpacing/>
    </w:pPr>
  </w:style>
  <w:style w:type="paragraph" w:styleId="slovanseznam">
    <w:name w:val="List Number"/>
    <w:basedOn w:val="Normln"/>
    <w:uiPriority w:val="99"/>
    <w:unhideWhenUsed/>
    <w:rsid w:val="002B60B3"/>
    <w:pPr>
      <w:numPr>
        <w:numId w:val="1"/>
      </w:numPr>
      <w:spacing w:after="400"/>
      <w:ind w:left="357" w:hanging="357"/>
    </w:pPr>
    <w:rPr>
      <w:rFonts w:ascii="Times New Roman" w:hAnsi="Times New Roman"/>
      <w:sz w:val="24"/>
    </w:rPr>
  </w:style>
  <w:style w:type="paragraph" w:customStyle="1" w:styleId="PS-slovanseznam">
    <w:name w:val="PS-číslovaný seznam"/>
    <w:basedOn w:val="Normln"/>
    <w:link w:val="PS-slovanseznamChar"/>
    <w:qFormat/>
    <w:rsid w:val="005F6CAE"/>
    <w:pPr>
      <w:numPr>
        <w:numId w:val="6"/>
      </w:numPr>
      <w:tabs>
        <w:tab w:val="left" w:pos="0"/>
      </w:tabs>
      <w:spacing w:after="400"/>
      <w:ind w:left="357" w:hanging="357"/>
      <w:jc w:val="both"/>
    </w:pPr>
    <w:rPr>
      <w:rFonts w:ascii="Times New Roman" w:hAnsi="Times New Roman"/>
      <w:sz w:val="24"/>
    </w:rPr>
  </w:style>
  <w:style w:type="character" w:customStyle="1" w:styleId="PS-slovanseznamChar">
    <w:name w:val="PS-číslovaný seznam Char"/>
    <w:link w:val="PS-slovanseznam"/>
    <w:rsid w:val="005F6CAE"/>
    <w:rPr>
      <w:rFonts w:ascii="Times New Roman" w:hAnsi="Times New Roman"/>
      <w:sz w:val="24"/>
      <w:szCs w:val="22"/>
      <w:lang w:eastAsia="en-US"/>
    </w:rPr>
  </w:style>
  <w:style w:type="paragraph" w:customStyle="1" w:styleId="StylA-PS-slovanseznamTunrozeno1b">
    <w:name w:val="Styl A-PS-číslovaný seznam + Tučné rozšířené o  1 b."/>
    <w:basedOn w:val="PS-slovanseznam"/>
    <w:rsid w:val="007D5EE1"/>
    <w:rPr>
      <w:b/>
      <w:bCs/>
      <w:spacing w:val="20"/>
    </w:rPr>
  </w:style>
  <w:style w:type="paragraph" w:customStyle="1" w:styleId="StylPS-slovanseznamrozeno1b">
    <w:name w:val="Styl PS-číslovaný seznam + rozšířené o  1 b."/>
    <w:basedOn w:val="PS-slovanseznam"/>
    <w:rsid w:val="005F6CAE"/>
    <w:rPr>
      <w:spacing w:val="40"/>
    </w:rPr>
  </w:style>
  <w:style w:type="paragraph" w:customStyle="1" w:styleId="StylPS-slovanseznamrozeno1b1">
    <w:name w:val="Styl PS-číslovaný seznam + rozšířené o  1 b.1"/>
    <w:basedOn w:val="PS-slovanseznam"/>
    <w:rsid w:val="00B715B6"/>
    <w:rPr>
      <w:spacing w:val="20"/>
    </w:rPr>
  </w:style>
  <w:style w:type="paragraph" w:customStyle="1" w:styleId="proloen">
    <w:name w:val="proložení"/>
    <w:basedOn w:val="Normln"/>
    <w:link w:val="proloenChar"/>
    <w:qFormat/>
    <w:rsid w:val="00ED15A8"/>
    <w:pPr>
      <w:tabs>
        <w:tab w:val="center" w:pos="1701"/>
        <w:tab w:val="center" w:pos="4536"/>
        <w:tab w:val="center" w:pos="7371"/>
      </w:tabs>
      <w:spacing w:after="0" w:line="240" w:lineRule="auto"/>
    </w:pPr>
    <w:rPr>
      <w:rFonts w:ascii="Times New Roman" w:hAnsi="Times New Roman"/>
      <w:spacing w:val="60"/>
      <w:sz w:val="24"/>
    </w:rPr>
  </w:style>
  <w:style w:type="character" w:customStyle="1" w:styleId="proloenChar">
    <w:name w:val="proložení Char"/>
    <w:link w:val="proloen"/>
    <w:rsid w:val="00ED15A8"/>
    <w:rPr>
      <w:rFonts w:ascii="Times New Roman" w:hAnsi="Times New Roman"/>
      <w:spacing w:val="60"/>
      <w:sz w:val="24"/>
      <w:szCs w:val="22"/>
      <w:lang w:eastAsia="en-US"/>
    </w:rPr>
  </w:style>
  <w:style w:type="character" w:styleId="Zdraznn">
    <w:name w:val="Emphasis"/>
    <w:uiPriority w:val="20"/>
    <w:qFormat/>
    <w:rsid w:val="00B4108A"/>
    <w:rPr>
      <w:rFonts w:ascii="Times New Roman" w:hAnsi="Times New Roman" w:cs="Times New Roman" w:hint="default"/>
      <w:i/>
      <w:iCs/>
    </w:rPr>
  </w:style>
  <w:style w:type="paragraph" w:customStyle="1" w:styleId="rmeek">
    <w:name w:val="rámeček"/>
    <w:basedOn w:val="Normln"/>
    <w:qFormat/>
    <w:rsid w:val="00B4108A"/>
    <w:pPr>
      <w:pBdr>
        <w:top w:val="single" w:sz="4" w:space="1" w:color="auto"/>
        <w:left w:val="single" w:sz="4" w:space="4" w:color="auto"/>
        <w:bottom w:val="single" w:sz="4" w:space="1" w:color="auto"/>
        <w:right w:val="single" w:sz="4" w:space="4" w:color="auto"/>
      </w:pBdr>
      <w:spacing w:after="0" w:line="240" w:lineRule="auto"/>
      <w:ind w:left="709"/>
      <w:jc w:val="both"/>
    </w:pPr>
    <w:rPr>
      <w:rFonts w:ascii="Times New Roman" w:hAnsi="Times New Roman"/>
      <w:sz w:val="24"/>
    </w:rPr>
  </w:style>
  <w:style w:type="character" w:customStyle="1" w:styleId="rozen">
    <w:name w:val="rozšířené"/>
    <w:uiPriority w:val="1"/>
    <w:qFormat/>
    <w:rsid w:val="00B4108A"/>
    <w:rPr>
      <w:b/>
      <w:bCs w:val="0"/>
      <w:spacing w:val="60"/>
    </w:rPr>
  </w:style>
  <w:style w:type="paragraph" w:styleId="Odstavecseseznamem">
    <w:name w:val="List Paragraph"/>
    <w:basedOn w:val="Normln"/>
    <w:uiPriority w:val="34"/>
    <w:qFormat/>
    <w:rsid w:val="006D769E"/>
    <w:pPr>
      <w:spacing w:line="256" w:lineRule="auto"/>
      <w:ind w:left="720"/>
      <w:contextualSpacing/>
    </w:pPr>
  </w:style>
  <w:style w:type="paragraph" w:styleId="Zhlav">
    <w:name w:val="header"/>
    <w:basedOn w:val="Normln"/>
    <w:link w:val="ZhlavChar"/>
    <w:uiPriority w:val="99"/>
    <w:unhideWhenUsed/>
    <w:rsid w:val="00563B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3B5A"/>
    <w:rPr>
      <w:sz w:val="22"/>
      <w:szCs w:val="22"/>
      <w:lang w:eastAsia="en-US"/>
    </w:rPr>
  </w:style>
  <w:style w:type="paragraph" w:styleId="Zpat">
    <w:name w:val="footer"/>
    <w:basedOn w:val="Normln"/>
    <w:link w:val="ZpatChar"/>
    <w:uiPriority w:val="99"/>
    <w:unhideWhenUsed/>
    <w:rsid w:val="0056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563B5A"/>
    <w:rPr>
      <w:sz w:val="22"/>
      <w:szCs w:val="22"/>
      <w:lang w:eastAsia="en-US"/>
    </w:rPr>
  </w:style>
  <w:style w:type="paragraph" w:customStyle="1" w:styleId="DefaultText">
    <w:name w:val="Default Text"/>
    <w:qFormat/>
    <w:rsid w:val="00594D80"/>
    <w:pPr>
      <w:suppressAutoHyphens/>
    </w:pPr>
    <w:rPr>
      <w:rFonts w:ascii="Times New Roman" w:eastAsia="Times New Roman" w:hAnsi="Times New Roman"/>
      <w:sz w:val="24"/>
      <w:lang w:eastAsia="zh-CN" w:bidi="hi-IN"/>
    </w:rPr>
  </w:style>
  <w:style w:type="character" w:styleId="Znakapoznpodarou">
    <w:name w:val="footnote reference"/>
    <w:uiPriority w:val="99"/>
    <w:rsid w:val="00092A3F"/>
    <w:rPr>
      <w:vertAlign w:val="superscript"/>
    </w:rPr>
  </w:style>
  <w:style w:type="paragraph" w:styleId="Textpoznpodarou">
    <w:name w:val="footnote text"/>
    <w:basedOn w:val="Normln"/>
    <w:link w:val="TextpoznpodarouChar"/>
    <w:uiPriority w:val="99"/>
    <w:rsid w:val="00092A3F"/>
    <w:pPr>
      <w:spacing w:after="0" w:line="240" w:lineRule="auto"/>
    </w:pPr>
    <w:rPr>
      <w:rFonts w:asciiTheme="majorHAnsi" w:eastAsia="Times New Roman" w:hAnsiTheme="majorHAnsi"/>
      <w:sz w:val="20"/>
      <w:szCs w:val="20"/>
      <w:lang w:eastAsia="cs-CZ"/>
    </w:rPr>
  </w:style>
  <w:style w:type="character" w:customStyle="1" w:styleId="TextpoznpodarouChar">
    <w:name w:val="Text pozn. pod čarou Char"/>
    <w:basedOn w:val="Standardnpsmoodstavce"/>
    <w:link w:val="Textpoznpodarou"/>
    <w:uiPriority w:val="99"/>
    <w:rsid w:val="00092A3F"/>
    <w:rPr>
      <w:rFonts w:asciiTheme="majorHAnsi" w:eastAsia="Times New Roman" w:hAnsiTheme="majorHAnsi"/>
    </w:rPr>
  </w:style>
  <w:style w:type="table" w:styleId="Mkatabulky">
    <w:name w:val="Table Grid"/>
    <w:basedOn w:val="Normlntabulka"/>
    <w:uiPriority w:val="39"/>
    <w:rsid w:val="00092A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01173">
      <w:bodyDiv w:val="1"/>
      <w:marLeft w:val="0"/>
      <w:marRight w:val="0"/>
      <w:marTop w:val="0"/>
      <w:marBottom w:val="0"/>
      <w:divBdr>
        <w:top w:val="none" w:sz="0" w:space="0" w:color="auto"/>
        <w:left w:val="none" w:sz="0" w:space="0" w:color="auto"/>
        <w:bottom w:val="none" w:sz="0" w:space="0" w:color="auto"/>
        <w:right w:val="none" w:sz="0" w:space="0" w:color="auto"/>
      </w:divBdr>
    </w:div>
    <w:div w:id="1010528839">
      <w:bodyDiv w:val="1"/>
      <w:marLeft w:val="0"/>
      <w:marRight w:val="0"/>
      <w:marTop w:val="0"/>
      <w:marBottom w:val="0"/>
      <w:divBdr>
        <w:top w:val="none" w:sz="0" w:space="0" w:color="auto"/>
        <w:left w:val="none" w:sz="0" w:space="0" w:color="auto"/>
        <w:bottom w:val="none" w:sz="0" w:space="0" w:color="auto"/>
        <w:right w:val="none" w:sz="0" w:space="0" w:color="auto"/>
      </w:divBdr>
    </w:div>
    <w:div w:id="1467434451">
      <w:bodyDiv w:val="1"/>
      <w:marLeft w:val="0"/>
      <w:marRight w:val="0"/>
      <w:marTop w:val="0"/>
      <w:marBottom w:val="0"/>
      <w:divBdr>
        <w:top w:val="none" w:sz="0" w:space="0" w:color="auto"/>
        <w:left w:val="none" w:sz="0" w:space="0" w:color="auto"/>
        <w:bottom w:val="none" w:sz="0" w:space="0" w:color="auto"/>
        <w:right w:val="none" w:sz="0" w:space="0" w:color="auto"/>
      </w:divBdr>
    </w:div>
    <w:div w:id="1843397270">
      <w:bodyDiv w:val="1"/>
      <w:marLeft w:val="0"/>
      <w:marRight w:val="0"/>
      <w:marTop w:val="0"/>
      <w:marBottom w:val="0"/>
      <w:divBdr>
        <w:top w:val="none" w:sz="0" w:space="0" w:color="auto"/>
        <w:left w:val="none" w:sz="0" w:space="0" w:color="auto"/>
        <w:bottom w:val="none" w:sz="0" w:space="0" w:color="auto"/>
        <w:right w:val="none" w:sz="0" w:space="0" w:color="auto"/>
      </w:divBdr>
    </w:div>
    <w:div w:id="1977372225">
      <w:bodyDiv w:val="1"/>
      <w:marLeft w:val="0"/>
      <w:marRight w:val="0"/>
      <w:marTop w:val="0"/>
      <w:marBottom w:val="0"/>
      <w:divBdr>
        <w:top w:val="none" w:sz="0" w:space="0" w:color="auto"/>
        <w:left w:val="none" w:sz="0" w:space="0" w:color="auto"/>
        <w:bottom w:val="none" w:sz="0" w:space="0" w:color="auto"/>
        <w:right w:val="none" w:sz="0" w:space="0" w:color="auto"/>
      </w:divBdr>
    </w:div>
    <w:div w:id="20183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A52021PC0281&amp;qid=1625745991576" TargetMode="External"/><Relationship Id="rId13" Type="http://schemas.openxmlformats.org/officeDocument/2006/relationships/hyperlink" Target="https://www.psp.cz/sqw/text/tiskt.sqw?o=7&amp;v=VEZ&amp;ct=166&amp;ct1=0" TargetMode="External"/><Relationship Id="rId18" Type="http://schemas.openxmlformats.org/officeDocument/2006/relationships/hyperlink" Target="https://eur-lex.europa.eu/legal-content/CS/TXT/?uri=CELEX:52020PC0823" TargetMode="External"/><Relationship Id="rId3" Type="http://schemas.openxmlformats.org/officeDocument/2006/relationships/settings" Target="settings.xml"/><Relationship Id="rId21" Type="http://schemas.openxmlformats.org/officeDocument/2006/relationships/hyperlink" Target="https://oeil.secure.europarl.europa.eu/oeil/popups/thematicnote.do?id=2066000&amp;l=en" TargetMode="External"/><Relationship Id="rId7" Type="http://schemas.openxmlformats.org/officeDocument/2006/relationships/footer" Target="footer1.xml"/><Relationship Id="rId12" Type="http://schemas.openxmlformats.org/officeDocument/2006/relationships/hyperlink" Target="https://eur-lex.europa.eu/legal-content/CS/TXT/?uri=CELEX%3A52015DC0192&amp;qid=1625751556198" TargetMode="External"/><Relationship Id="rId17" Type="http://schemas.openxmlformats.org/officeDocument/2006/relationships/hyperlink" Target="https://eur-lex.europa.eu/legal-content/CS/TXT/?uri=CELEX:52020PC0825" TargetMode="External"/><Relationship Id="rId2" Type="http://schemas.openxmlformats.org/officeDocument/2006/relationships/styles" Target="styles.xml"/><Relationship Id="rId16" Type="http://schemas.openxmlformats.org/officeDocument/2006/relationships/hyperlink" Target="https://www.senat.cz/xqw/xervlet/pssenat/original/66193/55765" TargetMode="External"/><Relationship Id="rId20" Type="http://schemas.openxmlformats.org/officeDocument/2006/relationships/hyperlink" Target="https://data.consilium.europa.eu/doc/document/CM-3472-2021-INIT/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CS/TXT/?uri=CELEX%3A52021DC0290&amp;qid=1625820578208" TargetMode="External"/><Relationship Id="rId5" Type="http://schemas.openxmlformats.org/officeDocument/2006/relationships/footnotes" Target="footnotes.xml"/><Relationship Id="rId15" Type="http://schemas.openxmlformats.org/officeDocument/2006/relationships/hyperlink" Target="https://www.psp.cz/sqw/text/tiskt.sqw?o=8&amp;v=VEZ&amp;ct=466&amp;ct1=0" TargetMode="External"/><Relationship Id="rId23" Type="http://schemas.openxmlformats.org/officeDocument/2006/relationships/theme" Target="theme/theme1.xml"/><Relationship Id="rId10" Type="http://schemas.openxmlformats.org/officeDocument/2006/relationships/hyperlink" Target="https://eur-lex.europa.eu/legal-content/CS/TXT/?uri=CELEX%3A52021DC0118&amp;qid=1625821057393" TargetMode="External"/><Relationship Id="rId19" Type="http://schemas.openxmlformats.org/officeDocument/2006/relationships/hyperlink" Target="https://eur-lex.europa.eu/legal-content/CS/TXT/?uri=CELEX:52020PC0823" TargetMode="External"/><Relationship Id="rId4" Type="http://schemas.openxmlformats.org/officeDocument/2006/relationships/webSettings" Target="webSettings.xml"/><Relationship Id="rId9" Type="http://schemas.openxmlformats.org/officeDocument/2006/relationships/hyperlink" Target="https://eur-lex.europa.eu/legal-content/CS/TXT/?uri=CELEX%3A32014R0910&amp;qid=1625750919292" TargetMode="External"/><Relationship Id="rId14" Type="http://schemas.openxmlformats.org/officeDocument/2006/relationships/hyperlink" Target="https://eur-lex.europa.eu/legal-content/CS/TXT/?uri=CELEX%3A52021DC0118&amp;qid=162582105739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V&#253;bor\VEZ\SEKRETARIAT\&#353;ablony\usnesen&#237;.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usnesení.dotx</Template>
  <TotalTime>47</TotalTime>
  <Pages>6</Pages>
  <Words>2409</Words>
  <Characters>14214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Koubova Blanka</dc:creator>
  <cp:keywords/>
  <dc:description/>
  <cp:lastModifiedBy>Koubova Blanka</cp:lastModifiedBy>
  <cp:revision>37</cp:revision>
  <dcterms:created xsi:type="dcterms:W3CDTF">2015-09-22T08:40:00Z</dcterms:created>
  <dcterms:modified xsi:type="dcterms:W3CDTF">2021-07-16T06:58:00Z</dcterms:modified>
</cp:coreProperties>
</file>