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7CF38258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C21EEB">
        <w:rPr>
          <w:szCs w:val="24"/>
        </w:rPr>
        <w:t>7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151332EB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DD4E03">
        <w:rPr>
          <w:szCs w:val="24"/>
        </w:rPr>
        <w:t xml:space="preserve">ve </w:t>
      </w:r>
      <w:r w:rsidR="00C21EEB">
        <w:rPr>
          <w:szCs w:val="24"/>
        </w:rPr>
        <w:t>čtvrtek 10</w:t>
      </w:r>
      <w:r w:rsidR="00F1636D">
        <w:rPr>
          <w:szCs w:val="24"/>
        </w:rPr>
        <w:t xml:space="preserve">. </w:t>
      </w:r>
      <w:r w:rsidR="00EF6E93">
        <w:rPr>
          <w:szCs w:val="24"/>
        </w:rPr>
        <w:t>března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1A234013" w14:textId="163EEE0B" w:rsidR="00047507" w:rsidRDefault="00C21EEB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Vládní návrh na působení sil a prostředků rezortu Ministerstva obrany v rámci mnohonárodního bojového uskupení NATO ve Slovenské republice (sněmovní tisk č. 180)</w:t>
      </w:r>
      <w:r w:rsidR="00047507" w:rsidRPr="00047507">
        <w:rPr>
          <w:b/>
          <w:i/>
        </w:rPr>
        <w:t>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6E255D46" w14:textId="5C46BA4B" w:rsidR="004B68C1" w:rsidRDefault="00C21EEB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1. doplněk k účasti ozbrojených sil České republiky na vojenských cvičeních mimo území České republiky a účasti ozbrojených sil jiných států na vojenských cvičeních na území České republiky v roce 2022</w:t>
      </w:r>
      <w:r w:rsidR="00F36E7B">
        <w:rPr>
          <w:b/>
          <w:i/>
        </w:rPr>
        <w:t xml:space="preserve"> (sněmovní tisk č. 181).</w:t>
      </w:r>
    </w:p>
    <w:p w14:paraId="65D56FEC" w14:textId="77777777" w:rsid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58471E9A" w14:textId="2FDA3821" w:rsidR="004B68C1" w:rsidRDefault="00C21EEB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</w:t>
      </w:r>
      <w:r w:rsidR="004B68C1" w:rsidRPr="00E92FFC">
        <w:rPr>
          <w:b/>
          <w:i/>
        </w:rPr>
        <w:t xml:space="preserve">ermín a pořadu </w:t>
      </w:r>
      <w:r>
        <w:rPr>
          <w:b/>
          <w:i/>
        </w:rPr>
        <w:t>příští schůze výboru pro obranu</w:t>
      </w:r>
      <w:r w:rsidR="004B68C1">
        <w:rPr>
          <w:b/>
          <w:i/>
        </w:rPr>
        <w:t>, r</w:t>
      </w:r>
      <w:r w:rsidR="004B68C1" w:rsidRPr="00047507">
        <w:rPr>
          <w:b/>
          <w:i/>
        </w:rPr>
        <w:t>ůzné</w:t>
      </w:r>
      <w:r w:rsidR="002A65C7">
        <w:rPr>
          <w:b/>
          <w:i/>
        </w:rPr>
        <w:t>.</w:t>
      </w:r>
    </w:p>
    <w:p w14:paraId="2C00F775" w14:textId="77777777" w:rsidR="004B68C1" w:rsidRP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7777777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3821A643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76EA8" w:rsidRPr="00E92FFC">
        <w:rPr>
          <w:i/>
        </w:rPr>
        <w:t xml:space="preserve"> </w:t>
      </w:r>
      <w:r w:rsidR="00E92FFC">
        <w:rPr>
          <w:i/>
        </w:rPr>
        <w:t xml:space="preserve">J. Bělica, </w:t>
      </w:r>
      <w:r w:rsidR="004B68C1">
        <w:rPr>
          <w:i/>
        </w:rPr>
        <w:t xml:space="preserve">S. Blaha, </w:t>
      </w:r>
      <w:r w:rsidR="00E92FFC">
        <w:rPr>
          <w:i/>
        </w:rPr>
        <w:t xml:space="preserve">J. Flek, </w:t>
      </w:r>
      <w:r w:rsidR="00F431C1">
        <w:rPr>
          <w:i/>
        </w:rPr>
        <w:t xml:space="preserve">J. Hofmann, </w:t>
      </w:r>
      <w:r w:rsidR="00EB4928">
        <w:rPr>
          <w:i/>
        </w:rPr>
        <w:t>J. Horák</w:t>
      </w:r>
      <w:r w:rsidR="00F431C1">
        <w:rPr>
          <w:i/>
        </w:rPr>
        <w:t xml:space="preserve">, </w:t>
      </w:r>
      <w:r w:rsidR="00C21EEB">
        <w:rPr>
          <w:i/>
        </w:rPr>
        <w:t xml:space="preserve">M. Janulík, </w:t>
      </w:r>
      <w:r w:rsidR="00F431C1">
        <w:rPr>
          <w:i/>
        </w:rPr>
        <w:t>K. Krejza,</w:t>
      </w:r>
      <w:r w:rsidR="004B68C1">
        <w:rPr>
          <w:i/>
        </w:rPr>
        <w:t xml:space="preserve"> P. Liška, </w:t>
      </w:r>
      <w:r w:rsidR="00896851">
        <w:rPr>
          <w:i/>
        </w:rPr>
        <w:t>L.</w:t>
      </w:r>
      <w:r w:rsidR="00211714">
        <w:rPr>
          <w:i/>
        </w:rPr>
        <w:t> </w:t>
      </w:r>
      <w:r w:rsidR="00896851">
        <w:rPr>
          <w:i/>
        </w:rPr>
        <w:t>Metnar</w:t>
      </w:r>
      <w:r w:rsidR="00F431C1">
        <w:rPr>
          <w:i/>
        </w:rPr>
        <w:t>, M. Opltová, M.</w:t>
      </w:r>
      <w:r w:rsidR="00F1636D">
        <w:rPr>
          <w:i/>
        </w:rPr>
        <w:t> </w:t>
      </w:r>
      <w:r w:rsidR="00F431C1">
        <w:rPr>
          <w:i/>
        </w:rPr>
        <w:t>Ratiborský, P. Růžička, R. Vích, L. Wenzl</w:t>
      </w:r>
      <w:r w:rsidR="00C21EEB">
        <w:rPr>
          <w:i/>
        </w:rPr>
        <w:t xml:space="preserve">, M. Ženíšek </w:t>
      </w:r>
      <w:r w:rsidR="00387D6E">
        <w:rPr>
          <w:i/>
        </w:rPr>
        <w:t>/</w:t>
      </w:r>
      <w:r w:rsidR="004B68C1">
        <w:rPr>
          <w:i/>
        </w:rPr>
        <w:t>1</w:t>
      </w:r>
      <w:r w:rsidR="00C21EEB">
        <w:rPr>
          <w:i/>
        </w:rPr>
        <w:t>5</w:t>
      </w:r>
      <w:r w:rsidR="00387D6E">
        <w:rPr>
          <w:i/>
        </w:rPr>
        <w:t>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7DE1BD71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 xml:space="preserve">: P. Žáček </w:t>
      </w:r>
      <w:r>
        <w:rPr>
          <w:i/>
        </w:rPr>
        <w:t>/</w:t>
      </w:r>
      <w:r w:rsidR="00C21EEB">
        <w:rPr>
          <w:i/>
        </w:rPr>
        <w:t>1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065E2062" w14:textId="5B241A30" w:rsidR="001D7F1A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>
        <w:rPr>
          <w:i/>
        </w:rPr>
        <w:t xml:space="preserve">ministryně obrany Mgr. Jana Černochová, </w:t>
      </w:r>
      <w:r w:rsidR="002A65C7">
        <w:rPr>
          <w:i/>
        </w:rPr>
        <w:t>náměstek pro řízení sekce obranné politiky a strategie MO Jan Havránek, MALD</w:t>
      </w:r>
      <w:r w:rsidR="00D52AE4">
        <w:rPr>
          <w:i/>
        </w:rPr>
        <w:t>;</w:t>
      </w:r>
    </w:p>
    <w:p w14:paraId="640D0180" w14:textId="51EE5545" w:rsidR="001D7F1A" w:rsidRPr="00F03470" w:rsidRDefault="001D7F1A" w:rsidP="00211714">
      <w:pPr>
        <w:autoSpaceDE w:val="0"/>
        <w:autoSpaceDN w:val="0"/>
        <w:adjustRightInd w:val="0"/>
        <w:spacing w:after="120" w:line="240" w:lineRule="auto"/>
        <w:jc w:val="both"/>
        <w:rPr>
          <w:i/>
        </w:rPr>
      </w:pPr>
      <w:r>
        <w:rPr>
          <w:i/>
        </w:rPr>
        <w:t>n</w:t>
      </w:r>
      <w:r w:rsidRPr="00F03470">
        <w:rPr>
          <w:i/>
        </w:rPr>
        <w:t>áčelník GŠ AČR arm. gen. Ing. Aleš Opata</w:t>
      </w:r>
      <w:r w:rsidR="00D52AE4">
        <w:rPr>
          <w:i/>
        </w:rPr>
        <w:t>;</w:t>
      </w:r>
    </w:p>
    <w:p w14:paraId="76265537" w14:textId="1D6ED7F8" w:rsidR="00C21EEB" w:rsidRPr="00C21EEB" w:rsidRDefault="00C21EEB" w:rsidP="00211714">
      <w:pPr>
        <w:spacing w:after="120"/>
        <w:jc w:val="both"/>
        <w:rPr>
          <w:rFonts w:asciiTheme="minorHAnsi" w:hAnsiTheme="minorHAnsi"/>
          <w:bCs/>
          <w:i/>
          <w:iCs/>
          <w:szCs w:val="24"/>
        </w:rPr>
      </w:pPr>
      <w:r w:rsidRPr="00C21EEB">
        <w:rPr>
          <w:rFonts w:asciiTheme="minorHAnsi" w:hAnsiTheme="minorHAnsi"/>
          <w:bCs/>
          <w:i/>
          <w:iCs/>
          <w:szCs w:val="24"/>
        </w:rPr>
        <w:t xml:space="preserve">náměstek člena vlády </w:t>
      </w:r>
      <w:r w:rsidR="00211714">
        <w:rPr>
          <w:rFonts w:asciiTheme="minorHAnsi" w:hAnsiTheme="minorHAnsi"/>
          <w:bCs/>
          <w:i/>
          <w:iCs/>
          <w:szCs w:val="24"/>
        </w:rPr>
        <w:t xml:space="preserve">MZV ČR </w:t>
      </w:r>
      <w:r w:rsidRPr="00C21EEB">
        <w:rPr>
          <w:rFonts w:asciiTheme="minorHAnsi" w:hAnsiTheme="minorHAnsi"/>
          <w:bCs/>
          <w:i/>
          <w:iCs/>
          <w:szCs w:val="24"/>
        </w:rPr>
        <w:t xml:space="preserve">Mgr. Jiří </w:t>
      </w:r>
      <w:r w:rsidR="00211714">
        <w:rPr>
          <w:rFonts w:asciiTheme="minorHAnsi" w:hAnsiTheme="minorHAnsi"/>
          <w:bCs/>
          <w:i/>
          <w:iCs/>
          <w:szCs w:val="24"/>
        </w:rPr>
        <w:t xml:space="preserve">Kozák, </w:t>
      </w:r>
      <w:r w:rsidR="00211714" w:rsidRPr="00C21EEB">
        <w:rPr>
          <w:rFonts w:asciiTheme="minorHAnsi" w:hAnsiTheme="minorHAnsi"/>
          <w:bCs/>
          <w:i/>
          <w:iCs/>
          <w:szCs w:val="24"/>
        </w:rPr>
        <w:t>zástupkyně ředitele, Odbor bezpečnostní politiky</w:t>
      </w:r>
      <w:r w:rsidR="00D52AE4">
        <w:rPr>
          <w:rFonts w:asciiTheme="minorHAnsi" w:hAnsiTheme="minorHAnsi"/>
          <w:bCs/>
          <w:i/>
          <w:iCs/>
          <w:szCs w:val="24"/>
        </w:rPr>
        <w:t xml:space="preserve"> MZV ČR</w:t>
      </w:r>
      <w:r w:rsidR="00211714">
        <w:rPr>
          <w:rFonts w:asciiTheme="minorHAnsi" w:hAnsiTheme="minorHAnsi"/>
          <w:bCs/>
          <w:i/>
          <w:iCs/>
          <w:szCs w:val="24"/>
        </w:rPr>
        <w:t xml:space="preserve"> </w:t>
      </w:r>
      <w:r w:rsidRPr="00C21EEB">
        <w:rPr>
          <w:rFonts w:asciiTheme="minorHAnsi" w:hAnsiTheme="minorHAnsi"/>
          <w:bCs/>
          <w:i/>
          <w:iCs/>
          <w:szCs w:val="24"/>
        </w:rPr>
        <w:t>Mgr.</w:t>
      </w:r>
      <w:r w:rsidR="00211714">
        <w:rPr>
          <w:rFonts w:asciiTheme="minorHAnsi" w:hAnsiTheme="minorHAnsi"/>
          <w:bCs/>
          <w:i/>
          <w:iCs/>
          <w:szCs w:val="24"/>
        </w:rPr>
        <w:t> </w:t>
      </w:r>
      <w:r w:rsidRPr="00C21EEB">
        <w:rPr>
          <w:rFonts w:asciiTheme="minorHAnsi" w:hAnsiTheme="minorHAnsi"/>
          <w:bCs/>
          <w:i/>
          <w:iCs/>
          <w:szCs w:val="24"/>
        </w:rPr>
        <w:t xml:space="preserve">Olga </w:t>
      </w:r>
      <w:r w:rsidR="00211714">
        <w:rPr>
          <w:rFonts w:asciiTheme="minorHAnsi" w:hAnsiTheme="minorHAnsi"/>
          <w:bCs/>
          <w:i/>
          <w:iCs/>
          <w:szCs w:val="24"/>
        </w:rPr>
        <w:t>Hajflerová.</w:t>
      </w:r>
    </w:p>
    <w:p w14:paraId="0F15F6B6" w14:textId="77777777" w:rsidR="00EB4928" w:rsidRPr="00C21EEB" w:rsidRDefault="00EB4928" w:rsidP="00890ADB">
      <w:pPr>
        <w:pStyle w:val="Bezmezer"/>
        <w:rPr>
          <w:rFonts w:asciiTheme="minorHAnsi" w:hAnsiTheme="minorHAnsi"/>
          <w:b/>
          <w:i/>
          <w:u w:val="single"/>
        </w:rPr>
      </w:pPr>
    </w:p>
    <w:p w14:paraId="5405333A" w14:textId="26C8F603" w:rsidR="00925CBF" w:rsidRPr="00B14A1D" w:rsidRDefault="00925CBF" w:rsidP="00890ADB">
      <w:pPr>
        <w:pStyle w:val="Bezmezer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34A0D3B5" w:rsidR="00F1636D" w:rsidRDefault="00F1636D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 w:rsidRPr="00362805">
        <w:rPr>
          <w:rFonts w:cstheme="minorHAnsi"/>
          <w:i/>
        </w:rPr>
        <w:t>Předsed</w:t>
      </w:r>
      <w:r>
        <w:rPr>
          <w:rFonts w:cstheme="minorHAnsi"/>
          <w:i/>
        </w:rPr>
        <w:t>a</w:t>
      </w:r>
      <w:r w:rsidRPr="00362805">
        <w:rPr>
          <w:rFonts w:cstheme="minorHAnsi"/>
          <w:i/>
        </w:rPr>
        <w:t xml:space="preserve"> výboru </w:t>
      </w:r>
      <w:r w:rsidR="004B68C1">
        <w:rPr>
          <w:rFonts w:cstheme="minorHAnsi"/>
          <w:i/>
        </w:rPr>
        <w:t>L. Metnar</w:t>
      </w:r>
      <w:r w:rsidRPr="00362805">
        <w:rPr>
          <w:rFonts w:cstheme="minorHAnsi"/>
          <w:i/>
        </w:rPr>
        <w:t xml:space="preserve"> přivítal přítomné členy výboru</w:t>
      </w:r>
      <w:r w:rsidR="00D52AE4">
        <w:rPr>
          <w:rFonts w:cstheme="minorHAnsi"/>
          <w:i/>
        </w:rPr>
        <w:t>, hosty z Ministerstva obrany, AČR a</w:t>
      </w:r>
      <w:r w:rsidR="008E7401">
        <w:rPr>
          <w:rFonts w:cstheme="minorHAnsi"/>
          <w:i/>
        </w:rPr>
        <w:t> </w:t>
      </w:r>
      <w:r w:rsidR="00D52AE4">
        <w:rPr>
          <w:rFonts w:cstheme="minorHAnsi"/>
          <w:i/>
        </w:rPr>
        <w:t>Ministerstva zahraničních věcí a k</w:t>
      </w:r>
      <w:r w:rsidRPr="00362805">
        <w:rPr>
          <w:rFonts w:cstheme="minorHAnsi"/>
          <w:i/>
        </w:rPr>
        <w:t>onstat</w:t>
      </w:r>
      <w:r w:rsidR="00D52AE4">
        <w:rPr>
          <w:rFonts w:cstheme="minorHAnsi"/>
          <w:i/>
        </w:rPr>
        <w:t>oval, že výbor je plně usnášení</w:t>
      </w:r>
      <w:r w:rsidRPr="00362805">
        <w:rPr>
          <w:rFonts w:cstheme="minorHAnsi"/>
          <w:i/>
        </w:rPr>
        <w:t>schopný.</w:t>
      </w:r>
      <w:r>
        <w:rPr>
          <w:rFonts w:cstheme="minorHAnsi"/>
          <w:i/>
        </w:rPr>
        <w:t xml:space="preserve"> </w:t>
      </w:r>
    </w:p>
    <w:p w14:paraId="1E0EACDA" w14:textId="7C01CD78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 xml:space="preserve">Ověřovatelem pro tuto schůzi výboru byl určen poslanec </w:t>
      </w:r>
      <w:r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DAE1949" w14:textId="5CCA4086" w:rsidR="00F1636D" w:rsidRPr="00F770C9" w:rsidRDefault="00CD4E5E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</w:t>
      </w:r>
      <w:r w:rsidR="004B68C1">
        <w:rPr>
          <w:rFonts w:cs="Calibri"/>
          <w:i/>
        </w:rPr>
        <w:t>L. Metnar</w:t>
      </w:r>
      <w:r w:rsidR="0045324C">
        <w:rPr>
          <w:rFonts w:cs="Calibri"/>
          <w:i/>
        </w:rPr>
        <w:t xml:space="preserve"> </w:t>
      </w:r>
      <w:r w:rsidR="00446F27">
        <w:rPr>
          <w:rFonts w:cs="Calibri"/>
          <w:i/>
        </w:rPr>
        <w:t>uvedl</w:t>
      </w:r>
      <w:r w:rsidR="0045324C"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F1636D">
        <w:rPr>
          <w:rFonts w:cs="Calibri"/>
          <w:i/>
        </w:rPr>
        <w:t>, neobdržel žádné připomínky</w:t>
      </w:r>
      <w:r w:rsidR="00EB4928">
        <w:rPr>
          <w:rFonts w:cs="Calibri"/>
          <w:i/>
        </w:rPr>
        <w:t xml:space="preserve"> na změnu či doplnění</w:t>
      </w:r>
      <w:r>
        <w:rPr>
          <w:rFonts w:cs="Calibri"/>
          <w:i/>
        </w:rPr>
        <w:t xml:space="preserve"> a tak nechal </w:t>
      </w:r>
      <w:r w:rsidR="000A2A73">
        <w:rPr>
          <w:rFonts w:cs="Calibri"/>
          <w:i/>
        </w:rPr>
        <w:t xml:space="preserve">návrhu programu hlasovat </w:t>
      </w:r>
      <w:r w:rsidR="00F1636D" w:rsidRPr="00F770C9">
        <w:rPr>
          <w:rFonts w:cs="Calibri"/>
          <w:i/>
          <w:u w:val="single"/>
        </w:rPr>
        <w:t>hlasování č. 1</w:t>
      </w:r>
      <w:r w:rsidR="00F1636D" w:rsidRPr="00F770C9">
        <w:rPr>
          <w:rFonts w:cs="Calibri"/>
          <w:i/>
        </w:rPr>
        <w:t xml:space="preserve"> </w:t>
      </w:r>
      <w:r w:rsidR="00F1636D" w:rsidRPr="00A3516E">
        <w:rPr>
          <w:rFonts w:cs="Calibri"/>
          <w:b/>
          <w:i/>
          <w:u w:val="single"/>
        </w:rPr>
        <w:t>(</w:t>
      </w:r>
      <w:r w:rsidR="008E7401">
        <w:rPr>
          <w:rFonts w:cs="Calibri"/>
          <w:b/>
          <w:i/>
          <w:u w:val="single"/>
        </w:rPr>
        <w:t>15</w:t>
      </w:r>
      <w:r w:rsidR="00F1636D" w:rsidRPr="00A3516E">
        <w:rPr>
          <w:rFonts w:cs="Calibri"/>
          <w:b/>
          <w:i/>
          <w:u w:val="single"/>
        </w:rPr>
        <w:t>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0)</w:t>
      </w:r>
      <w:r w:rsidR="00F1636D">
        <w:rPr>
          <w:rFonts w:cs="Calibri"/>
          <w:b/>
          <w:i/>
        </w:rPr>
        <w:t xml:space="preserve">. </w:t>
      </w:r>
    </w:p>
    <w:p w14:paraId="1B0CF5F4" w14:textId="79933CF1" w:rsidR="00F1636D" w:rsidRDefault="00F1636D" w:rsidP="00967619">
      <w:pPr>
        <w:spacing w:after="120" w:line="240" w:lineRule="auto"/>
        <w:ind w:firstLine="454"/>
        <w:jc w:val="both"/>
        <w:rPr>
          <w:i/>
          <w:iCs/>
          <w:color w:val="000000"/>
        </w:rPr>
      </w:pPr>
      <w:r w:rsidRPr="00F770C9">
        <w:rPr>
          <w:i/>
          <w:iCs/>
          <w:color w:val="000000"/>
        </w:rPr>
        <w:t xml:space="preserve">Program </w:t>
      </w:r>
      <w:r w:rsidR="00D52AE4">
        <w:rPr>
          <w:i/>
          <w:iCs/>
          <w:color w:val="000000"/>
        </w:rPr>
        <w:t>7</w:t>
      </w:r>
      <w:r>
        <w:rPr>
          <w:i/>
          <w:iCs/>
          <w:color w:val="000000"/>
        </w:rPr>
        <w:t>.</w:t>
      </w:r>
      <w:r w:rsidRPr="00F770C9">
        <w:rPr>
          <w:i/>
          <w:iCs/>
          <w:color w:val="000000"/>
        </w:rPr>
        <w:t xml:space="preserve"> schůze byl schválen.</w:t>
      </w:r>
    </w:p>
    <w:p w14:paraId="159BA4C2" w14:textId="3783B778" w:rsidR="006A43F7" w:rsidRPr="0045324C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1EC5AED" w14:textId="77777777" w:rsidR="00D52AE4" w:rsidRDefault="00D52AE4" w:rsidP="00D52A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Vládní návrh na působení sil a prostředků rezortu Ministerstva obrany v rámci mnohonárodního bojového uskupení NATO ve Slovenské republice (sněmovní tisk č. 180)</w:t>
      </w:r>
      <w:r w:rsidRPr="00047507">
        <w:rPr>
          <w:b/>
          <w:i/>
        </w:rPr>
        <w:t>.</w:t>
      </w:r>
    </w:p>
    <w:p w14:paraId="75CE5DC4" w14:textId="77777777" w:rsidR="00700035" w:rsidRPr="0045324C" w:rsidRDefault="0070003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9154741" w14:textId="421CA846" w:rsidR="00F30855" w:rsidRDefault="000A2A73" w:rsidP="00D52AE4">
      <w:pPr>
        <w:spacing w:after="120" w:line="240" w:lineRule="auto"/>
        <w:ind w:firstLine="454"/>
        <w:jc w:val="both"/>
        <w:rPr>
          <w:i/>
        </w:rPr>
      </w:pPr>
      <w:r w:rsidRPr="00F30855">
        <w:rPr>
          <w:i/>
        </w:rPr>
        <w:t xml:space="preserve">Předseda výboru </w:t>
      </w:r>
      <w:r w:rsidR="004B68C1" w:rsidRPr="00F30855">
        <w:rPr>
          <w:i/>
        </w:rPr>
        <w:t>L. Metnar</w:t>
      </w:r>
      <w:r w:rsidR="00CD4E5E" w:rsidRPr="00F30855">
        <w:rPr>
          <w:i/>
        </w:rPr>
        <w:t xml:space="preserve"> </w:t>
      </w:r>
      <w:r w:rsidRPr="00F30855">
        <w:rPr>
          <w:i/>
        </w:rPr>
        <w:t xml:space="preserve">zahájil projednávání bodu č. </w:t>
      </w:r>
      <w:r w:rsidR="00CD4E5E" w:rsidRPr="00F30855">
        <w:rPr>
          <w:i/>
        </w:rPr>
        <w:t>2</w:t>
      </w:r>
      <w:r w:rsidRPr="00F30855">
        <w:rPr>
          <w:i/>
        </w:rPr>
        <w:t xml:space="preserve"> a </w:t>
      </w:r>
      <w:r w:rsidR="000D3D20" w:rsidRPr="00F30855">
        <w:rPr>
          <w:i/>
        </w:rPr>
        <w:t xml:space="preserve">požádal o úvodní slovo ministryni obrany J. Černochovou. Ta </w:t>
      </w:r>
      <w:r w:rsidR="008D4B18" w:rsidRPr="00F30855">
        <w:rPr>
          <w:i/>
        </w:rPr>
        <w:t xml:space="preserve">nejprve členům výboru poděkovala za rychlé zařazení a projednání bodu na schůzi výboru a </w:t>
      </w:r>
      <w:r w:rsidR="008310A3">
        <w:rPr>
          <w:i/>
        </w:rPr>
        <w:t>sdělila</w:t>
      </w:r>
      <w:r w:rsidR="000D3D20" w:rsidRPr="00F30855">
        <w:rPr>
          <w:i/>
        </w:rPr>
        <w:t xml:space="preserve">, že </w:t>
      </w:r>
      <w:r w:rsidR="00F30855" w:rsidRPr="00F30855">
        <w:rPr>
          <w:i/>
        </w:rPr>
        <w:t xml:space="preserve">materiál byl schválen vládou dne 9. března 2022 a navrhované působení sil a prostředků rezortu MO v rámci mnohonárodního bojového uskupení NATO ve Slovenské republice je konkrétním příspěvkem České republiky k obraně spojenců na východním křídle Aliance před možnou agresí. </w:t>
      </w:r>
    </w:p>
    <w:p w14:paraId="6ED39C09" w14:textId="13DA96FC" w:rsidR="008310A3" w:rsidRDefault="008310A3" w:rsidP="00D52AE4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Dále ministryně obrany J. Černochová uvedla, že na území Slovenské republiky bude vysláno do 650 vojáků AČR, přičemž přítomných příslušníků AČR by vždy bylo aspoň 400. Dodala, </w:t>
      </w:r>
      <w:r w:rsidR="002433ED">
        <w:rPr>
          <w:i/>
        </w:rPr>
        <w:t xml:space="preserve">že </w:t>
      </w:r>
      <w:r>
        <w:rPr>
          <w:i/>
        </w:rPr>
        <w:t xml:space="preserve">rozdíl je rezerva, do které jsou počítány jednotlivé rotace, doprovod Vojenské policie a logisté, kteří na území Slovenské republiky byli vyslání 7. března 2022. </w:t>
      </w:r>
    </w:p>
    <w:p w14:paraId="109E5534" w14:textId="02A40481" w:rsidR="00F30855" w:rsidRPr="00F30855" w:rsidRDefault="008310A3" w:rsidP="008310A3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Závěrem ministryně obrany J. Černochová zmínila, že se j</w:t>
      </w:r>
      <w:r w:rsidR="00F30855" w:rsidRPr="00F30855">
        <w:rPr>
          <w:i/>
        </w:rPr>
        <w:t>edná o silný politický a praktický výraz solidarity a ochoty napl</w:t>
      </w:r>
      <w:r w:rsidR="002433ED">
        <w:rPr>
          <w:i/>
        </w:rPr>
        <w:t xml:space="preserve">ňovat závazek společné obrany, přičemž </w:t>
      </w:r>
      <w:r w:rsidR="00F30855" w:rsidRPr="00F30855">
        <w:rPr>
          <w:i/>
        </w:rPr>
        <w:t>ravidelné a dlouhodo</w:t>
      </w:r>
      <w:r>
        <w:rPr>
          <w:i/>
        </w:rPr>
        <w:t>bé působení našich jednotek na</w:t>
      </w:r>
      <w:r w:rsidR="00F30855" w:rsidRPr="00F30855">
        <w:rPr>
          <w:i/>
        </w:rPr>
        <w:t xml:space="preserve"> Slovensku, doprovázené komplexním výcvikem i v rámci spojeneckých uskupení, rovněž přispěje v dlouhodobějším horizontu k rozvoji interoperability Armády ČR a jejích schopností efektivně bránit svrchovanost a územní c</w:t>
      </w:r>
      <w:r>
        <w:rPr>
          <w:i/>
        </w:rPr>
        <w:t>elistvost ČR a jejích spojenců, přičemž n</w:t>
      </w:r>
      <w:r w:rsidR="00F30855" w:rsidRPr="00F30855">
        <w:rPr>
          <w:i/>
        </w:rPr>
        <w:t xml:space="preserve">avrhované působení bude spojenci vysoce hodnoceno na mezinárodní úrovni a posílí už tak nadstandardní vztahy se Slovenskou republikou. </w:t>
      </w:r>
    </w:p>
    <w:p w14:paraId="39F5A80A" w14:textId="07F5D308" w:rsidR="0009141A" w:rsidRDefault="000D3D20" w:rsidP="0009141A">
      <w:pPr>
        <w:spacing w:after="120" w:line="240" w:lineRule="auto"/>
        <w:ind w:firstLine="454"/>
        <w:jc w:val="both"/>
        <w:rPr>
          <w:i/>
        </w:rPr>
      </w:pPr>
      <w:r w:rsidRPr="0009141A">
        <w:rPr>
          <w:i/>
        </w:rPr>
        <w:t>Úvodní slovo ministryně obrany doplnil náčelník GŠ AČR arm. gen. A. Op</w:t>
      </w:r>
      <w:r w:rsidR="0009141A" w:rsidRPr="0009141A">
        <w:rPr>
          <w:i/>
        </w:rPr>
        <w:t xml:space="preserve">ata, který členům výboru objasnil výstavbu a funkci battlegroup </w:t>
      </w:r>
      <w:r w:rsidRPr="0009141A">
        <w:rPr>
          <w:i/>
        </w:rPr>
        <w:t xml:space="preserve">v SR. </w:t>
      </w:r>
      <w:r w:rsidR="0009141A" w:rsidRPr="0009141A">
        <w:rPr>
          <w:i/>
        </w:rPr>
        <w:t xml:space="preserve">Uvedl, že </w:t>
      </w:r>
      <w:r w:rsidRPr="0009141A">
        <w:rPr>
          <w:i/>
        </w:rPr>
        <w:t xml:space="preserve">battlegroup </w:t>
      </w:r>
      <w:r w:rsidR="0009141A">
        <w:rPr>
          <w:i/>
        </w:rPr>
        <w:t>n</w:t>
      </w:r>
      <w:r w:rsidR="008D4B18">
        <w:rPr>
          <w:i/>
        </w:rPr>
        <w:t>ese náz</w:t>
      </w:r>
      <w:r w:rsidR="0009141A">
        <w:rPr>
          <w:i/>
        </w:rPr>
        <w:t>ev</w:t>
      </w:r>
      <w:r w:rsidRPr="0009141A">
        <w:rPr>
          <w:i/>
        </w:rPr>
        <w:t xml:space="preserve"> enhanced Vigilance Activities Battle Group</w:t>
      </w:r>
      <w:r w:rsidR="0009141A" w:rsidRPr="0009141A">
        <w:rPr>
          <w:i/>
        </w:rPr>
        <w:t xml:space="preserve"> (dále jen </w:t>
      </w:r>
      <w:r w:rsidRPr="0009141A">
        <w:rPr>
          <w:i/>
        </w:rPr>
        <w:t>eVA BG</w:t>
      </w:r>
      <w:r w:rsidR="0009141A" w:rsidRPr="0009141A">
        <w:rPr>
          <w:i/>
        </w:rPr>
        <w:t xml:space="preserve">) a jedná se o analogický model k posílení kolektivní obranyschopnosti exponovaných zemí, který funguje již od roku 2017 v Pobaltí a Polsku, tzv. Posílená předsunutá přítomnost NATO, do níž se Česká republika dlouhodobě zapojuje vysláním sil a prostředků do bojových uskupení v Litvě a Lotyšsku. </w:t>
      </w:r>
      <w:r w:rsidRPr="0009141A">
        <w:rPr>
          <w:i/>
        </w:rPr>
        <w:t xml:space="preserve"> </w:t>
      </w:r>
      <w:r w:rsidR="0009141A">
        <w:rPr>
          <w:i/>
        </w:rPr>
        <w:t>Dodal, že p</w:t>
      </w:r>
      <w:r w:rsidR="0009141A" w:rsidRPr="0009141A">
        <w:rPr>
          <w:i/>
        </w:rPr>
        <w:t>říprava zříz</w:t>
      </w:r>
      <w:r w:rsidR="008D4B18">
        <w:rPr>
          <w:i/>
        </w:rPr>
        <w:t>ení další alianční přítomnosti (</w:t>
      </w:r>
      <w:r w:rsidR="0009141A" w:rsidRPr="0009141A">
        <w:rPr>
          <w:i/>
        </w:rPr>
        <w:t>eVA BG) byla na nejvyšší úrovni potvrzena na mimořádném videokonferenčním zasedání hlav států a vlá</w:t>
      </w:r>
      <w:r w:rsidR="0009141A">
        <w:rPr>
          <w:i/>
        </w:rPr>
        <w:t>d zemí NATO dne 25. února 2022 a s</w:t>
      </w:r>
      <w:r w:rsidR="0009141A" w:rsidRPr="0009141A">
        <w:rPr>
          <w:i/>
        </w:rPr>
        <w:t xml:space="preserve"> ohledem na již probíhající ruskou vojenskou agresi na Ukrajině je nutné výstavbu eVA BG urychlit. </w:t>
      </w:r>
    </w:p>
    <w:p w14:paraId="64981DED" w14:textId="77777777" w:rsidR="0009141A" w:rsidRDefault="0009141A" w:rsidP="0009141A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Dále náčelník GŠ AČR arm. gen. A. Opata sdělil, že </w:t>
      </w:r>
      <w:r w:rsidRPr="0009141A">
        <w:rPr>
          <w:i/>
        </w:rPr>
        <w:t>Česká republika přijala nabídku Slovenska na převzetí role ve</w:t>
      </w:r>
      <w:r>
        <w:rPr>
          <w:i/>
        </w:rPr>
        <w:t xml:space="preserve">doucí země eVA BG na Slovensku, což v </w:t>
      </w:r>
      <w:r w:rsidRPr="0009141A">
        <w:rPr>
          <w:i/>
        </w:rPr>
        <w:t xml:space="preserve">praxi znamená velení mezinárodním silám v celkovém počtu cca 1 500 osob. </w:t>
      </w:r>
      <w:r>
        <w:rPr>
          <w:i/>
        </w:rPr>
        <w:t>Dodal, že a</w:t>
      </w:r>
      <w:r w:rsidRPr="0009141A">
        <w:rPr>
          <w:i/>
        </w:rPr>
        <w:t xml:space="preserve">ktuálně se předpokládá, že do uskupení na Slovensku se rovněž zapojí Německo, Slovensko, Polsko, Slovinsko, USA a Nizozemsko. </w:t>
      </w:r>
    </w:p>
    <w:p w14:paraId="2FA49957" w14:textId="738D88AC" w:rsidR="0009141A" w:rsidRPr="0009141A" w:rsidRDefault="0009141A" w:rsidP="0009141A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Závěrem náčelník GŠ AČR arm. gen. A. Opata zmínil, že </w:t>
      </w:r>
      <w:r w:rsidRPr="0009141A">
        <w:rPr>
          <w:i/>
        </w:rPr>
        <w:t xml:space="preserve">v rámci eVA BG ve Slovenské republice </w:t>
      </w:r>
      <w:r>
        <w:rPr>
          <w:i/>
        </w:rPr>
        <w:t>bude působit cca 650 vojáků, přičemž v</w:t>
      </w:r>
      <w:r w:rsidRPr="0009141A">
        <w:rPr>
          <w:i/>
        </w:rPr>
        <w:t>e spolupráci se Slovenskem se plánuje přispět</w:t>
      </w:r>
      <w:r w:rsidR="008D4B18">
        <w:rPr>
          <w:i/>
        </w:rPr>
        <w:t xml:space="preserve"> jednotlivci do velitelství eVA </w:t>
      </w:r>
      <w:r w:rsidRPr="0009141A">
        <w:rPr>
          <w:i/>
        </w:rPr>
        <w:t xml:space="preserve">BG, včetně jeho velitele, bojovou jednotkou, týmem Vojenské policie, prvky zpravodajského zabezpečení a jednotkami bojové a logistické podpory. </w:t>
      </w:r>
      <w:r w:rsidR="008D4B18">
        <w:rPr>
          <w:i/>
        </w:rPr>
        <w:t xml:space="preserve">Dodal, že na </w:t>
      </w:r>
      <w:r w:rsidRPr="0009141A">
        <w:rPr>
          <w:i/>
        </w:rPr>
        <w:t>základě vývoje bezpečnostní situace a s ohledem na vyčleňované schopnosti partnerských zemí se může připravovaná struktura českého příspěvku průběžně měnit.</w:t>
      </w:r>
    </w:p>
    <w:p w14:paraId="33D0BD74" w14:textId="7408D43E" w:rsidR="000D3D20" w:rsidRPr="008D4B18" w:rsidRDefault="008D4B18" w:rsidP="00D52AE4">
      <w:pPr>
        <w:spacing w:after="120" w:line="240" w:lineRule="auto"/>
        <w:ind w:firstLine="454"/>
        <w:jc w:val="both"/>
        <w:rPr>
          <w:i/>
        </w:rPr>
      </w:pPr>
      <w:r w:rsidRPr="008D4B18">
        <w:rPr>
          <w:i/>
        </w:rPr>
        <w:t xml:space="preserve">S úvodním slovem také vystoupil </w:t>
      </w:r>
      <w:r w:rsidRPr="008D4B18">
        <w:rPr>
          <w:rFonts w:asciiTheme="minorHAnsi" w:hAnsiTheme="minorHAnsi"/>
          <w:bCs/>
          <w:i/>
          <w:iCs/>
          <w:szCs w:val="24"/>
        </w:rPr>
        <w:t xml:space="preserve">náměstek člena vlády MZV ČR </w:t>
      </w:r>
      <w:r>
        <w:rPr>
          <w:rFonts w:asciiTheme="minorHAnsi" w:hAnsiTheme="minorHAnsi"/>
          <w:bCs/>
          <w:i/>
          <w:iCs/>
          <w:szCs w:val="24"/>
        </w:rPr>
        <w:t xml:space="preserve">J. Kozák, který </w:t>
      </w:r>
      <w:r w:rsidR="00A24CBF" w:rsidRPr="008D4B18">
        <w:rPr>
          <w:i/>
        </w:rPr>
        <w:t>potvrdi</w:t>
      </w:r>
      <w:r>
        <w:rPr>
          <w:i/>
        </w:rPr>
        <w:t>l</w:t>
      </w:r>
      <w:r w:rsidR="00A24CBF" w:rsidRPr="008D4B18">
        <w:rPr>
          <w:i/>
        </w:rPr>
        <w:t xml:space="preserve">, že </w:t>
      </w:r>
      <w:r w:rsidR="00296400">
        <w:rPr>
          <w:i/>
        </w:rPr>
        <w:t xml:space="preserve">rezort Ministerstva zahraničních věcí </w:t>
      </w:r>
      <w:r w:rsidR="00A24CBF" w:rsidRPr="008D4B18">
        <w:rPr>
          <w:i/>
        </w:rPr>
        <w:t>plně podporuje příspěvek</w:t>
      </w:r>
      <w:r>
        <w:rPr>
          <w:i/>
        </w:rPr>
        <w:t xml:space="preserve"> AČR</w:t>
      </w:r>
      <w:r w:rsidR="00A24CBF" w:rsidRPr="008D4B18">
        <w:rPr>
          <w:i/>
        </w:rPr>
        <w:t xml:space="preserve"> k posílení </w:t>
      </w:r>
      <w:r w:rsidR="00296400">
        <w:rPr>
          <w:i/>
        </w:rPr>
        <w:t xml:space="preserve">východního křídla NATO, kterým ČR reaguje na vzniklou situaci na Ukrajině, čímž se zvýší nejen bezpečnost východního křídla, ale i nás všech. </w:t>
      </w:r>
      <w:r w:rsidR="00A24CBF" w:rsidRPr="008D4B18">
        <w:rPr>
          <w:i/>
        </w:rPr>
        <w:t xml:space="preserve"> </w:t>
      </w:r>
    </w:p>
    <w:p w14:paraId="2B2E8FFA" w14:textId="5057F773" w:rsidR="00444EDF" w:rsidRDefault="00444EDF" w:rsidP="00967619">
      <w:pPr>
        <w:spacing w:after="120" w:line="240" w:lineRule="auto"/>
        <w:ind w:firstLine="454"/>
        <w:jc w:val="both"/>
        <w:rPr>
          <w:i/>
        </w:rPr>
      </w:pPr>
      <w:r w:rsidRPr="00B50EF9">
        <w:rPr>
          <w:rFonts w:asciiTheme="minorHAnsi" w:hAnsiTheme="minorHAnsi" w:cs="Calibri"/>
          <w:i/>
          <w:spacing w:val="-3"/>
        </w:rPr>
        <w:t xml:space="preserve">Zpravodajem byl určen </w:t>
      </w:r>
      <w:r>
        <w:rPr>
          <w:rFonts w:asciiTheme="minorHAnsi" w:hAnsiTheme="minorHAnsi" w:cs="Calibri"/>
          <w:i/>
          <w:spacing w:val="-3"/>
        </w:rPr>
        <w:t>předseda výboru L. Metnar</w:t>
      </w:r>
      <w:r w:rsidRPr="00B50EF9">
        <w:rPr>
          <w:rFonts w:asciiTheme="minorHAnsi" w:hAnsiTheme="minorHAnsi" w:cs="Calibri"/>
          <w:i/>
          <w:spacing w:val="-3"/>
        </w:rPr>
        <w:t xml:space="preserve">, který </w:t>
      </w:r>
      <w:r>
        <w:rPr>
          <w:rFonts w:asciiTheme="minorHAnsi" w:hAnsiTheme="minorHAnsi" w:cs="Calibri"/>
          <w:i/>
          <w:spacing w:val="-3"/>
        </w:rPr>
        <w:t>přednesl zpravodajskou zprávu</w:t>
      </w:r>
      <w:r w:rsidR="00E70353">
        <w:rPr>
          <w:rFonts w:asciiTheme="minorHAnsi" w:hAnsiTheme="minorHAnsi" w:cs="Calibri"/>
          <w:i/>
          <w:spacing w:val="-3"/>
        </w:rPr>
        <w:t xml:space="preserve">, </w:t>
      </w:r>
      <w:r>
        <w:rPr>
          <w:rFonts w:asciiTheme="minorHAnsi" w:hAnsiTheme="minorHAnsi" w:cs="Calibri"/>
          <w:i/>
          <w:spacing w:val="-3"/>
        </w:rPr>
        <w:t xml:space="preserve">tím byla otevřena </w:t>
      </w:r>
      <w:r>
        <w:rPr>
          <w:i/>
        </w:rPr>
        <w:t xml:space="preserve">obecná rozprava. </w:t>
      </w:r>
    </w:p>
    <w:p w14:paraId="07534E90" w14:textId="1F2AA4D7" w:rsidR="002678F4" w:rsidRDefault="00E70353" w:rsidP="00F36E7B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V obecné se rozpravě se </w:t>
      </w:r>
      <w:r w:rsidR="00296400">
        <w:rPr>
          <w:i/>
        </w:rPr>
        <w:t>přihlásil</w:t>
      </w:r>
      <w:r>
        <w:rPr>
          <w:i/>
        </w:rPr>
        <w:t xml:space="preserve"> </w:t>
      </w:r>
      <w:r w:rsidRPr="00296400">
        <w:rPr>
          <w:i/>
        </w:rPr>
        <w:t xml:space="preserve">poslanec </w:t>
      </w:r>
      <w:r w:rsidR="00296400">
        <w:rPr>
          <w:i/>
        </w:rPr>
        <w:t xml:space="preserve">R. Vích, který vládnímu návrhu vyjádřil podporu </w:t>
      </w:r>
      <w:r w:rsidR="00F36E7B">
        <w:rPr>
          <w:i/>
        </w:rPr>
        <w:t xml:space="preserve">celého klubu SPD. </w:t>
      </w:r>
      <w:r w:rsidR="00CD1F45">
        <w:rPr>
          <w:i/>
        </w:rPr>
        <w:t>J</w:t>
      </w:r>
      <w:r w:rsidR="00700035">
        <w:rPr>
          <w:i/>
        </w:rPr>
        <w:t xml:space="preserve">elikož </w:t>
      </w:r>
      <w:r w:rsidR="00967619">
        <w:rPr>
          <w:i/>
        </w:rPr>
        <w:t xml:space="preserve">se </w:t>
      </w:r>
      <w:r w:rsidR="00CD1F45">
        <w:rPr>
          <w:i/>
        </w:rPr>
        <w:t>v obecné rozpravě již nikdo další nepřihlásil</w:t>
      </w:r>
      <w:r w:rsidR="002433ED">
        <w:rPr>
          <w:i/>
        </w:rPr>
        <w:t>,</w:t>
      </w:r>
      <w:r w:rsidR="00CD1F45">
        <w:rPr>
          <w:i/>
        </w:rPr>
        <w:t xml:space="preserve"> </w:t>
      </w:r>
      <w:r w:rsidR="00967619">
        <w:rPr>
          <w:i/>
        </w:rPr>
        <w:t xml:space="preserve">předseda výboru </w:t>
      </w:r>
      <w:r w:rsidR="00CD1F45">
        <w:rPr>
          <w:i/>
        </w:rPr>
        <w:t>L. Metnar</w:t>
      </w:r>
      <w:r w:rsidR="009D0551">
        <w:rPr>
          <w:i/>
        </w:rPr>
        <w:t xml:space="preserve"> </w:t>
      </w:r>
      <w:r w:rsidR="00700035">
        <w:rPr>
          <w:i/>
        </w:rPr>
        <w:t>ji uzavř</w:t>
      </w:r>
      <w:r w:rsidR="005C5593">
        <w:rPr>
          <w:i/>
        </w:rPr>
        <w:t>e</w:t>
      </w:r>
      <w:r w:rsidR="00F36E7B">
        <w:rPr>
          <w:i/>
        </w:rPr>
        <w:t xml:space="preserve">l a otevřel rozpravu podrobnou, v níž přednesl návrh </w:t>
      </w:r>
      <w:r w:rsidR="00F36E7B" w:rsidRPr="00F36E7B">
        <w:rPr>
          <w:b/>
          <w:i/>
          <w:u w:val="single"/>
        </w:rPr>
        <w:t xml:space="preserve">Usnesení č. 25 </w:t>
      </w:r>
      <w:r w:rsidR="005C5593" w:rsidRPr="00F36E7B">
        <w:rPr>
          <w:b/>
          <w:i/>
          <w:u w:val="single"/>
        </w:rPr>
        <w:t>(1</w:t>
      </w:r>
      <w:r w:rsidR="00F36E7B">
        <w:rPr>
          <w:b/>
          <w:i/>
          <w:u w:val="single"/>
        </w:rPr>
        <w:t>5</w:t>
      </w:r>
      <w:r w:rsidR="005C5593" w:rsidRPr="00F36E7B">
        <w:rPr>
          <w:b/>
          <w:i/>
          <w:u w:val="single"/>
        </w:rPr>
        <w:t>/ 0/ 0)</w:t>
      </w:r>
      <w:r w:rsidR="00F36E7B" w:rsidRPr="00F36E7B">
        <w:rPr>
          <w:b/>
          <w:i/>
        </w:rPr>
        <w:t xml:space="preserve"> </w:t>
      </w:r>
      <w:r w:rsidR="00F36E7B" w:rsidRPr="00F36E7B">
        <w:rPr>
          <w:i/>
          <w:u w:val="single"/>
        </w:rPr>
        <w:t>/hlasování č. 2/</w:t>
      </w:r>
      <w:r w:rsidR="005C5593">
        <w:rPr>
          <w:i/>
        </w:rPr>
        <w:t xml:space="preserve">. </w:t>
      </w:r>
    </w:p>
    <w:p w14:paraId="6AE990E6" w14:textId="671FF386" w:rsidR="002678F4" w:rsidRPr="002678F4" w:rsidRDefault="002678F4" w:rsidP="002678F4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lastRenderedPageBreak/>
        <w:t>Usnesení bylo přijato a předseda výboru L. Metnar ukončil projednávání bodu č. 2.</w:t>
      </w:r>
    </w:p>
    <w:p w14:paraId="593D5D09" w14:textId="6083CB06" w:rsidR="00700035" w:rsidRDefault="00700035" w:rsidP="00700035">
      <w:pPr>
        <w:spacing w:after="0"/>
        <w:ind w:firstLine="454"/>
        <w:jc w:val="both"/>
        <w:rPr>
          <w:rFonts w:cs="Calibri"/>
          <w:i/>
        </w:rPr>
      </w:pPr>
    </w:p>
    <w:p w14:paraId="3B107C3F" w14:textId="77777777" w:rsidR="00F36E7B" w:rsidRDefault="00F36E7B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D52AE4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D52AE4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D52AE4">
        <w:rPr>
          <w:rFonts w:asciiTheme="minorHAnsi" w:hAnsiTheme="minorHAnsi"/>
          <w:b/>
          <w:sz w:val="22"/>
          <w:szCs w:val="22"/>
          <w:u w:val="single"/>
        </w:rPr>
        <w:t>3</w:t>
      </w:r>
      <w:r w:rsidRPr="00D52AE4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6399CB3" w14:textId="03219EBA" w:rsidR="00D52AE4" w:rsidRPr="00D52AE4" w:rsidRDefault="00D52AE4" w:rsidP="0051145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D52AE4">
        <w:rPr>
          <w:rFonts w:asciiTheme="minorHAnsi" w:hAnsiTheme="minorHAnsi"/>
          <w:b/>
          <w:sz w:val="22"/>
          <w:szCs w:val="22"/>
        </w:rPr>
        <w:t>1. doplněk k účasti ozbrojených sil České republiky na vojenských cvičeních mimo území České republiky a účasti ozbrojených sil jiných států na vojenských cvičeních na úz</w:t>
      </w:r>
      <w:r w:rsidR="00F36E7B">
        <w:rPr>
          <w:rFonts w:asciiTheme="minorHAnsi" w:hAnsiTheme="minorHAnsi"/>
          <w:b/>
          <w:sz w:val="22"/>
          <w:szCs w:val="22"/>
        </w:rPr>
        <w:t>emí České republiky v roce 2022 (sněmovní tisk č. 181).</w:t>
      </w:r>
      <w:r w:rsidR="00700035" w:rsidRPr="00D52AE4">
        <w:rPr>
          <w:rFonts w:asciiTheme="minorHAnsi" w:hAnsiTheme="minorHAnsi"/>
          <w:sz w:val="22"/>
          <w:szCs w:val="22"/>
        </w:rPr>
        <w:t xml:space="preserve">     </w:t>
      </w:r>
    </w:p>
    <w:p w14:paraId="6DF182BB" w14:textId="77777777" w:rsidR="006B0B4E" w:rsidRDefault="00511451" w:rsidP="006B0B4E">
      <w:pPr>
        <w:spacing w:after="120" w:line="240" w:lineRule="auto"/>
        <w:ind w:firstLine="454"/>
        <w:jc w:val="both"/>
        <w:rPr>
          <w:i/>
        </w:rPr>
      </w:pPr>
      <w:r w:rsidRPr="006B0B4E">
        <w:rPr>
          <w:rFonts w:asciiTheme="minorHAnsi" w:hAnsiTheme="minorHAnsi"/>
          <w:i/>
        </w:rPr>
        <w:t xml:space="preserve">Předseda výboru L. Metnar zahájil projednávání bodu č. 3 a </w:t>
      </w:r>
      <w:r w:rsidR="00F36E7B" w:rsidRPr="006B0B4E">
        <w:rPr>
          <w:rFonts w:asciiTheme="minorHAnsi" w:hAnsiTheme="minorHAnsi"/>
          <w:i/>
        </w:rPr>
        <w:t xml:space="preserve">opět požádal o úvodní slovo ministryni obrany J. Černochovou. Ta uvedla, že </w:t>
      </w:r>
      <w:r w:rsidR="006B0B4E" w:rsidRPr="006B0B4E">
        <w:rPr>
          <w:rFonts w:asciiTheme="minorHAnsi" w:hAnsiTheme="minorHAnsi"/>
          <w:i/>
        </w:rPr>
        <w:t xml:space="preserve">materiál </w:t>
      </w:r>
      <w:r w:rsidR="006B0B4E" w:rsidRPr="006B0B4E">
        <w:rPr>
          <w:i/>
        </w:rPr>
        <w:t>1. doplněk k účasti ozbrojených sil České republiky na vojenských cvičeních mimo území České republiky a účasti ozbrojených sil jiných států na vojenských cvičeních na území České republiky v roce 2022 (dále jen „1. doplněk“) se předkládá na základě čl. 43 odst. 5 písm. b) ústavního zákona č. 1/1993 Sb., Ústava České republiky, ve zn</w:t>
      </w:r>
      <w:r w:rsidR="006B0B4E">
        <w:rPr>
          <w:i/>
        </w:rPr>
        <w:t>ění pozdějších ústavních zákonů a p</w:t>
      </w:r>
      <w:r w:rsidR="006B0B4E" w:rsidRPr="006B0B4E">
        <w:rPr>
          <w:i/>
        </w:rPr>
        <w:t xml:space="preserve">ředkládaný materiál obsahuje informace o cvičeních se zahraničními partnery, která nebyla obsažena v materiálu „Účast ozbrojených sil České republiky na vojenských cvičeních mimo území České republiky a účast ozbrojených sil jiných států na vojenských cvičeních na území České republiky v roce 2022“, schváleném usnesením vlády ze dne 22. listopadu 2021 č. 1046. </w:t>
      </w:r>
    </w:p>
    <w:p w14:paraId="263A3F3A" w14:textId="77777777" w:rsidR="006B0B4E" w:rsidRDefault="006B0B4E" w:rsidP="006B0B4E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Upřesnila, že se j</w:t>
      </w:r>
      <w:r w:rsidRPr="006B0B4E">
        <w:rPr>
          <w:i/>
        </w:rPr>
        <w:t xml:space="preserve">edná se o 13 cvičení mimo území České republiky a 4 na území České republiky, která </w:t>
      </w:r>
      <w:r>
        <w:rPr>
          <w:i/>
        </w:rPr>
        <w:t>jsou součástí tohoto materiálu a m</w:t>
      </w:r>
      <w:r w:rsidRPr="006B0B4E">
        <w:rPr>
          <w:i/>
        </w:rPr>
        <w:t>ateriál zároveň obsahuje upřesňující informace o 14 cvičeních na území České republiky a 31 cvičeních v zahraničí, která již byla vládou schválena a u kterých došlo ke změnám termínů, názvů a typů akce, počtů dnů, osob, techniky, míst konání, cvičících součástí zahraničních jednotek i Armády České republiky (dále jen „AČR“) z důvodu požadavků partnerů a dalších úkolů jednotek AČR.</w:t>
      </w:r>
    </w:p>
    <w:p w14:paraId="114C2329" w14:textId="745416E4" w:rsidR="006B0B4E" w:rsidRPr="006B0B4E" w:rsidRDefault="006B0B4E" w:rsidP="006B0B4E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Dodala, že n</w:t>
      </w:r>
      <w:r w:rsidRPr="006B0B4E">
        <w:rPr>
          <w:i/>
        </w:rPr>
        <w:t>ejvýznamnějším nově plánovaným vojenským cvičením je cvičení IRON WOLF 22-II.</w:t>
      </w:r>
      <w:r>
        <w:rPr>
          <w:i/>
        </w:rPr>
        <w:t xml:space="preserve"> a j</w:t>
      </w:r>
      <w:r w:rsidRPr="006B0B4E">
        <w:rPr>
          <w:i/>
        </w:rPr>
        <w:t xml:space="preserve">edná se o přípravné cvičení k certifikaci praporu Enhanced Forward Presence (eFP) Ozbrojených sil Litvy s mnohonárodní účastí. </w:t>
      </w:r>
      <w:r>
        <w:rPr>
          <w:i/>
        </w:rPr>
        <w:t>Upřesnila, že c</w:t>
      </w:r>
      <w:r w:rsidRPr="006B0B4E">
        <w:rPr>
          <w:i/>
        </w:rPr>
        <w:t>vičení se účastní všechny složky Mnohonárodn</w:t>
      </w:r>
      <w:r>
        <w:rPr>
          <w:i/>
        </w:rPr>
        <w:t>í divize severovýchod (MND-NE), c</w:t>
      </w:r>
      <w:r w:rsidRPr="006B0B4E">
        <w:rPr>
          <w:i/>
        </w:rPr>
        <w:t>ílem cvičení je zvýšit schopnost součinnosti mnohonárodních jednotek při obraně aliančního území</w:t>
      </w:r>
      <w:r>
        <w:rPr>
          <w:i/>
        </w:rPr>
        <w:t xml:space="preserve"> v konfliktu vysoké intenzity a c</w:t>
      </w:r>
      <w:r w:rsidRPr="006B0B4E">
        <w:rPr>
          <w:i/>
        </w:rPr>
        <w:t>vičení se zúčastní do 100 příslušníků ze 7.</w:t>
      </w:r>
      <w:r>
        <w:rPr>
          <w:i/>
        </w:rPr>
        <w:t> </w:t>
      </w:r>
      <w:r w:rsidRPr="006B0B4E">
        <w:rPr>
          <w:i/>
        </w:rPr>
        <w:t xml:space="preserve">mechanizované brigády. </w:t>
      </w:r>
      <w:r>
        <w:rPr>
          <w:i/>
        </w:rPr>
        <w:t>Doplnila, že c</w:t>
      </w:r>
      <w:r w:rsidRPr="006B0B4E">
        <w:rPr>
          <w:i/>
        </w:rPr>
        <w:t xml:space="preserve">vičení uvedená v 1. doplňku budou financována v rámci schváleného rozpočtu kapitoly Ministerstva obrany na rok 2022 ve smyslu § 22 zákona č. 218/2000 Sb., o rozpočtových pravidlech a o změně </w:t>
      </w:r>
      <w:r>
        <w:rPr>
          <w:i/>
        </w:rPr>
        <w:t>některých souvisejících zákonů a d</w:t>
      </w:r>
      <w:r w:rsidRPr="006B0B4E">
        <w:rPr>
          <w:i/>
        </w:rPr>
        <w:t>odatečné požadavky na finanční prostředky v oblasti zabezpečení zahraničních cvičení nevznikají.</w:t>
      </w:r>
    </w:p>
    <w:p w14:paraId="6AB69F80" w14:textId="4932BBF1" w:rsidR="006B0B4E" w:rsidRPr="006B0B4E" w:rsidRDefault="006B0B4E" w:rsidP="006B0B4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Závěrem ministryně obrany J. Černochová uvedla, že na žádost vlády a Armády Slovenské republiky je s</w:t>
      </w:r>
      <w:r w:rsidRPr="006B0B4E">
        <w:rPr>
          <w:rFonts w:asciiTheme="minorHAnsi" w:hAnsiTheme="minorHAnsi"/>
          <w:sz w:val="22"/>
          <w:szCs w:val="22"/>
        </w:rPr>
        <w:t>oučástí českého příspěvku i logistická jednotka v počtu cca 50 osob se 30 ks techniky, jejímž úkolem bude kompletní vybudování a provoz mobilní humanitární základny stanového typu s kapacitou až 400 osob, včetně sociálního zázemí. Veškerý materiál pro výstavbu základny, která bude zřízena u obce Jamník (okres Liptovský Mikuláš), pochází ze zásob Armády ČR.</w:t>
      </w:r>
    </w:p>
    <w:p w14:paraId="441108C1" w14:textId="24C40F55" w:rsidR="006B0B4E" w:rsidRDefault="006B0B4E" w:rsidP="00F36E7B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467AB460" w14:textId="7A5EE695" w:rsidR="00700035" w:rsidRPr="00E13647" w:rsidRDefault="00E13647" w:rsidP="00E13647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E13647">
        <w:rPr>
          <w:rFonts w:asciiTheme="minorHAnsi" w:hAnsiTheme="minorHAnsi" w:cs="Calibri"/>
          <w:i/>
          <w:spacing w:val="-3"/>
        </w:rPr>
        <w:t xml:space="preserve">Zpravodajem byl určen předseda výboru L. Metnar, který přednesl zpravodajskou zprávu, tím byla otevřena </w:t>
      </w:r>
      <w:r w:rsidRPr="00E13647">
        <w:rPr>
          <w:i/>
        </w:rPr>
        <w:t xml:space="preserve">obecná rozprava. Jelikož se v obecné rozpravě nikdo nepřihlásil, předseda výboru L. Metnar ji uzavřel, otevřel rozpravu podrobnou a přednesl návrh </w:t>
      </w:r>
      <w:r w:rsidRPr="00E13647">
        <w:rPr>
          <w:rFonts w:asciiTheme="minorHAnsi" w:hAnsiTheme="minorHAnsi"/>
          <w:b/>
          <w:i/>
          <w:u w:val="single"/>
        </w:rPr>
        <w:t>Usnesení č. 26</w:t>
      </w:r>
      <w:r w:rsidR="003050DB" w:rsidRPr="00E13647">
        <w:rPr>
          <w:rFonts w:asciiTheme="minorHAnsi" w:hAnsiTheme="minorHAnsi"/>
          <w:b/>
          <w:i/>
          <w:u w:val="single"/>
        </w:rPr>
        <w:t xml:space="preserve"> (</w:t>
      </w:r>
      <w:r w:rsidRPr="00E13647">
        <w:rPr>
          <w:rFonts w:asciiTheme="minorHAnsi" w:hAnsiTheme="minorHAnsi"/>
          <w:b/>
          <w:i/>
          <w:u w:val="single"/>
        </w:rPr>
        <w:t>15</w:t>
      </w:r>
      <w:r w:rsidR="003050DB" w:rsidRPr="00E13647">
        <w:rPr>
          <w:rFonts w:asciiTheme="minorHAnsi" w:hAnsiTheme="minorHAnsi"/>
          <w:b/>
          <w:i/>
          <w:u w:val="single"/>
        </w:rPr>
        <w:t>/ 0/ 0)</w:t>
      </w:r>
      <w:r w:rsidR="003050DB" w:rsidRPr="00E13647">
        <w:rPr>
          <w:rFonts w:asciiTheme="minorHAnsi" w:hAnsiTheme="minorHAnsi"/>
          <w:b/>
          <w:i/>
        </w:rPr>
        <w:t xml:space="preserve"> </w:t>
      </w:r>
      <w:r w:rsidR="00EB01BE" w:rsidRPr="00E13647">
        <w:rPr>
          <w:rFonts w:asciiTheme="minorHAnsi" w:hAnsiTheme="minorHAnsi"/>
          <w:i/>
          <w:u w:val="single"/>
        </w:rPr>
        <w:t xml:space="preserve">/hlasování č. </w:t>
      </w:r>
      <w:r w:rsidRPr="00E13647">
        <w:rPr>
          <w:rFonts w:asciiTheme="minorHAnsi" w:hAnsiTheme="minorHAnsi"/>
          <w:i/>
          <w:u w:val="single"/>
        </w:rPr>
        <w:t>3</w:t>
      </w:r>
      <w:r w:rsidR="00EB01BE" w:rsidRPr="00E13647">
        <w:rPr>
          <w:rFonts w:asciiTheme="minorHAnsi" w:hAnsiTheme="minorHAnsi"/>
          <w:i/>
          <w:u w:val="single"/>
        </w:rPr>
        <w:t>/</w:t>
      </w:r>
      <w:r w:rsidR="00EB01BE" w:rsidRPr="00E13647">
        <w:rPr>
          <w:rFonts w:asciiTheme="minorHAnsi" w:hAnsiTheme="minorHAnsi"/>
          <w:i/>
        </w:rPr>
        <w:t xml:space="preserve">. </w:t>
      </w:r>
    </w:p>
    <w:p w14:paraId="393032A5" w14:textId="6834EBEE" w:rsidR="00700035" w:rsidRPr="00E13647" w:rsidRDefault="00700035" w:rsidP="007814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E13647">
        <w:rPr>
          <w:rFonts w:asciiTheme="minorHAnsi" w:hAnsiTheme="minorHAnsi"/>
          <w:sz w:val="22"/>
          <w:szCs w:val="22"/>
        </w:rPr>
        <w:t xml:space="preserve">          Tím bylo </w:t>
      </w:r>
      <w:r w:rsidR="00EB01BE" w:rsidRPr="00E13647">
        <w:rPr>
          <w:rFonts w:asciiTheme="minorHAnsi" w:hAnsiTheme="minorHAnsi"/>
          <w:sz w:val="22"/>
          <w:szCs w:val="22"/>
        </w:rPr>
        <w:t xml:space="preserve">Usnesení </w:t>
      </w:r>
      <w:r w:rsidRPr="00E13647">
        <w:rPr>
          <w:rFonts w:asciiTheme="minorHAnsi" w:hAnsiTheme="minorHAnsi"/>
          <w:sz w:val="22"/>
          <w:szCs w:val="22"/>
        </w:rPr>
        <w:t xml:space="preserve">přijato a předseda </w:t>
      </w:r>
      <w:r w:rsidR="00EB01BE" w:rsidRPr="00E13647">
        <w:rPr>
          <w:rFonts w:asciiTheme="minorHAnsi" w:hAnsiTheme="minorHAnsi"/>
          <w:sz w:val="22"/>
          <w:szCs w:val="22"/>
        </w:rPr>
        <w:t>výboru L. Metnar</w:t>
      </w:r>
      <w:r w:rsidRPr="00E13647"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781415" w:rsidRPr="00E13647">
        <w:rPr>
          <w:rFonts w:asciiTheme="minorHAnsi" w:hAnsiTheme="minorHAnsi"/>
          <w:sz w:val="22"/>
          <w:szCs w:val="22"/>
        </w:rPr>
        <w:t>3</w:t>
      </w:r>
      <w:r w:rsidRPr="00E13647">
        <w:rPr>
          <w:rFonts w:asciiTheme="minorHAnsi" w:hAnsiTheme="minorHAnsi"/>
          <w:sz w:val="22"/>
          <w:szCs w:val="22"/>
        </w:rPr>
        <w:t xml:space="preserve">. 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75CFD0FB" w14:textId="77777777" w:rsidR="006B0B4E" w:rsidRPr="00E13647" w:rsidRDefault="006B0B4E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5AD6F5D4" w14:textId="77777777" w:rsidR="00E13647" w:rsidRDefault="00E13647" w:rsidP="00E1364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K bodu 4:</w:t>
      </w:r>
    </w:p>
    <w:p w14:paraId="167533C5" w14:textId="240E7CD0" w:rsidR="00E13647" w:rsidRDefault="00E13647" w:rsidP="00E1364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</w:t>
      </w:r>
      <w:r w:rsidRPr="00E92FFC">
        <w:rPr>
          <w:b/>
          <w:i/>
        </w:rPr>
        <w:t xml:space="preserve">ermín a pořadu </w:t>
      </w:r>
      <w:r>
        <w:rPr>
          <w:b/>
          <w:i/>
        </w:rPr>
        <w:t>příští schůze výboru pro obranu, r</w:t>
      </w:r>
      <w:r w:rsidRPr="00047507">
        <w:rPr>
          <w:b/>
          <w:i/>
        </w:rPr>
        <w:t>ůzné</w:t>
      </w:r>
      <w:r>
        <w:rPr>
          <w:b/>
          <w:i/>
        </w:rPr>
        <w:t>.</w:t>
      </w:r>
    </w:p>
    <w:p w14:paraId="0913A7E8" w14:textId="29288301" w:rsidR="00700035" w:rsidRDefault="00E13647" w:rsidP="0061793A">
      <w:pPr>
        <w:pStyle w:val="Teclotex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výboru L. Metnar zahájil projednávání bodu a sdělil</w:t>
      </w:r>
      <w:r w:rsidR="002433ED">
        <w:rPr>
          <w:rFonts w:asciiTheme="minorHAnsi" w:hAnsiTheme="minorHAnsi"/>
          <w:sz w:val="22"/>
          <w:szCs w:val="22"/>
        </w:rPr>
        <w:t>, že 8. schůze výboru pro obranu se uskuteční dne 29. března 2022 a na program budou zařazeny sněmovní tisky č. 169, 182 a 183.</w:t>
      </w:r>
    </w:p>
    <w:p w14:paraId="543383FC" w14:textId="026B26E8" w:rsidR="00CA329B" w:rsidRPr="00D97CB6" w:rsidRDefault="00D97CB6" w:rsidP="00D97CB6">
      <w:pPr>
        <w:pStyle w:val="Teclotextu"/>
        <w:spacing w:before="240" w:after="240"/>
        <w:ind w:firstLine="454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Ná</w:t>
      </w:r>
      <w:r w:rsidR="00CA329B" w:rsidRPr="00D97CB6">
        <w:rPr>
          <w:rFonts w:asciiTheme="minorHAnsi" w:hAnsiTheme="minorHAnsi"/>
          <w:color w:val="000000"/>
          <w:sz w:val="22"/>
          <w:szCs w:val="22"/>
        </w:rPr>
        <w:t xml:space="preserve">sledně předseda výboru </w:t>
      </w:r>
      <w:r>
        <w:rPr>
          <w:rFonts w:asciiTheme="minorHAnsi" w:hAnsiTheme="minorHAnsi"/>
          <w:color w:val="000000"/>
          <w:sz w:val="22"/>
          <w:szCs w:val="22"/>
        </w:rPr>
        <w:t>L. Metnar</w:t>
      </w:r>
      <w:r w:rsidR="00CA329B" w:rsidRPr="00D97CB6">
        <w:rPr>
          <w:rFonts w:asciiTheme="minorHAnsi" w:hAnsiTheme="minorHAnsi"/>
          <w:color w:val="000000"/>
          <w:sz w:val="22"/>
          <w:szCs w:val="22"/>
        </w:rPr>
        <w:t xml:space="preserve"> zkonstatoval, že 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program </w:t>
      </w:r>
      <w:r w:rsidR="006B0B4E">
        <w:rPr>
          <w:rFonts w:asciiTheme="minorHAnsi" w:hAnsiTheme="minorHAnsi"/>
          <w:iCs/>
          <w:sz w:val="22"/>
          <w:szCs w:val="22"/>
        </w:rPr>
        <w:t>7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. schůze výboru pro obranu byl </w:t>
      </w:r>
      <w:r w:rsidR="00CA329B" w:rsidRPr="00D97CB6">
        <w:rPr>
          <w:rFonts w:asciiTheme="minorHAnsi" w:hAnsiTheme="minorHAnsi"/>
          <w:iCs/>
          <w:sz w:val="22"/>
          <w:szCs w:val="22"/>
        </w:rPr>
        <w:lastRenderedPageBreak/>
        <w:t xml:space="preserve">vyčerpán, přítomným členům poděkoval za účast a </w:t>
      </w:r>
      <w:r w:rsidR="006B0B4E">
        <w:rPr>
          <w:rFonts w:asciiTheme="minorHAnsi" w:hAnsiTheme="minorHAnsi"/>
          <w:iCs/>
          <w:sz w:val="22"/>
          <w:szCs w:val="22"/>
        </w:rPr>
        <w:t>7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. schůzi výboru ukončil. </w:t>
      </w:r>
    </w:p>
    <w:p w14:paraId="4C04436F" w14:textId="1CEEBE20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227FFDF9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E13647">
        <w:rPr>
          <w:rFonts w:asciiTheme="minorHAnsi" w:hAnsiTheme="minorHAnsi"/>
          <w:i/>
          <w:sz w:val="22"/>
          <w:lang w:val="cs-CZ"/>
        </w:rPr>
        <w:t>25, 26.</w:t>
      </w:r>
    </w:p>
    <w:p w14:paraId="18D45765" w14:textId="77777777" w:rsidR="009A6218" w:rsidRPr="00A01250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7ED9F802" w:rsidR="002331D7" w:rsidRDefault="002331D7" w:rsidP="00A01250">
      <w:pPr>
        <w:spacing w:after="0" w:line="240" w:lineRule="auto"/>
        <w:jc w:val="both"/>
        <w:rPr>
          <w:i/>
        </w:rPr>
      </w:pPr>
    </w:p>
    <w:p w14:paraId="0B0C5067" w14:textId="462C2730" w:rsidR="00266F7B" w:rsidRDefault="00266F7B" w:rsidP="00A01250">
      <w:pPr>
        <w:spacing w:after="0" w:line="240" w:lineRule="auto"/>
        <w:jc w:val="both"/>
        <w:rPr>
          <w:i/>
        </w:rPr>
      </w:pPr>
    </w:p>
    <w:p w14:paraId="26E82725" w14:textId="134B96AF" w:rsidR="00266F7B" w:rsidRDefault="00266F7B" w:rsidP="00A01250">
      <w:pPr>
        <w:spacing w:after="0" w:line="240" w:lineRule="auto"/>
        <w:jc w:val="both"/>
        <w:rPr>
          <w:i/>
        </w:rPr>
      </w:pPr>
    </w:p>
    <w:p w14:paraId="55E060C9" w14:textId="4E6990F9" w:rsidR="00266F7B" w:rsidRDefault="00266F7B" w:rsidP="00A01250">
      <w:pPr>
        <w:spacing w:after="0" w:line="240" w:lineRule="auto"/>
        <w:jc w:val="both"/>
        <w:rPr>
          <w:i/>
        </w:rPr>
      </w:pPr>
    </w:p>
    <w:p w14:paraId="42EB7C2B" w14:textId="506D9544" w:rsidR="00266F7B" w:rsidRDefault="00266F7B" w:rsidP="00A01250">
      <w:pPr>
        <w:spacing w:after="0" w:line="240" w:lineRule="auto"/>
        <w:jc w:val="both"/>
        <w:rPr>
          <w:i/>
        </w:rPr>
      </w:pPr>
    </w:p>
    <w:p w14:paraId="170436B6" w14:textId="153353B7" w:rsidR="00266F7B" w:rsidRDefault="00266F7B" w:rsidP="00A01250">
      <w:pPr>
        <w:spacing w:after="0" w:line="240" w:lineRule="auto"/>
        <w:jc w:val="both"/>
        <w:rPr>
          <w:i/>
        </w:rPr>
      </w:pPr>
    </w:p>
    <w:p w14:paraId="6D1F6034" w14:textId="10D66601" w:rsidR="00266F7B" w:rsidRDefault="00266F7B" w:rsidP="00A01250">
      <w:pPr>
        <w:spacing w:after="0" w:line="240" w:lineRule="auto"/>
        <w:jc w:val="both"/>
        <w:rPr>
          <w:i/>
        </w:rPr>
      </w:pPr>
    </w:p>
    <w:p w14:paraId="0C13FA6D" w14:textId="2EF8C9D0" w:rsidR="00266F7B" w:rsidRDefault="00266F7B" w:rsidP="00A01250">
      <w:pPr>
        <w:spacing w:after="0" w:line="240" w:lineRule="auto"/>
        <w:jc w:val="both"/>
        <w:rPr>
          <w:i/>
        </w:rPr>
      </w:pPr>
    </w:p>
    <w:p w14:paraId="196302C3" w14:textId="1FE17A3F" w:rsidR="00266F7B" w:rsidRDefault="00266F7B" w:rsidP="00A01250">
      <w:pPr>
        <w:spacing w:after="0" w:line="240" w:lineRule="auto"/>
        <w:jc w:val="both"/>
        <w:rPr>
          <w:i/>
        </w:rPr>
      </w:pPr>
    </w:p>
    <w:p w14:paraId="281B923D" w14:textId="27466E40" w:rsidR="00266F7B" w:rsidRDefault="00266F7B" w:rsidP="00A01250">
      <w:pPr>
        <w:spacing w:after="0" w:line="240" w:lineRule="auto"/>
        <w:jc w:val="both"/>
        <w:rPr>
          <w:i/>
        </w:rPr>
      </w:pPr>
    </w:p>
    <w:p w14:paraId="54005D92" w14:textId="77777777" w:rsidR="00266F7B" w:rsidRPr="00A01250" w:rsidRDefault="00266F7B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51F9EF9A" w:rsidR="00986840" w:rsidRPr="00A01250" w:rsidRDefault="000507F7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>Mgr</w:t>
      </w:r>
      <w:r w:rsidR="008165C4" w:rsidRPr="00A01250">
        <w:rPr>
          <w:i/>
        </w:rPr>
        <w:t xml:space="preserve">. </w:t>
      </w:r>
      <w:r w:rsidR="00C16D46" w:rsidRPr="00A01250">
        <w:rPr>
          <w:i/>
        </w:rPr>
        <w:t xml:space="preserve">Karel </w:t>
      </w:r>
      <w:r w:rsidRPr="00A01250">
        <w:rPr>
          <w:i/>
        </w:rPr>
        <w:t>KREJZA</w:t>
      </w:r>
      <w:r w:rsidR="002266D4">
        <w:rPr>
          <w:i/>
        </w:rPr>
        <w:t xml:space="preserve"> v. r.</w:t>
      </w:r>
      <w:r w:rsidR="001A0AC7" w:rsidRPr="00A01250">
        <w:rPr>
          <w:i/>
        </w:rPr>
        <w:t xml:space="preserve">  </w:t>
      </w:r>
      <w:r w:rsidR="00986840" w:rsidRPr="00A01250">
        <w:rPr>
          <w:i/>
        </w:rPr>
        <w:t xml:space="preserve">                                    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     </w:t>
      </w:r>
      <w:r w:rsidR="001D06AB">
        <w:rPr>
          <w:i/>
        </w:rPr>
        <w:t>Mgr. Lubomír METNAR</w:t>
      </w:r>
      <w:r w:rsidR="002266D4">
        <w:rPr>
          <w:i/>
        </w:rPr>
        <w:t xml:space="preserve"> v. r.</w:t>
      </w:r>
      <w:bookmarkStart w:id="0" w:name="_GoBack"/>
      <w:bookmarkEnd w:id="0"/>
    </w:p>
    <w:p w14:paraId="6DBD520F" w14:textId="60DF9E84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  </w:t>
      </w:r>
      <w:r w:rsidR="00986840" w:rsidRPr="00A01250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     </w:t>
      </w:r>
      <w:r w:rsidR="00266F7B">
        <w:rPr>
          <w:i/>
        </w:rPr>
        <w:t xml:space="preserve"> </w:t>
      </w:r>
      <w:r w:rsidR="0045324C" w:rsidRPr="00A01250">
        <w:rPr>
          <w:i/>
        </w:rPr>
        <w:t xml:space="preserve">    </w:t>
      </w:r>
      <w:r w:rsidR="001D06AB">
        <w:rPr>
          <w:i/>
        </w:rPr>
        <w:t xml:space="preserve">       </w:t>
      </w:r>
      <w:r w:rsidR="0045324C" w:rsidRPr="00A01250">
        <w:rPr>
          <w:i/>
        </w:rPr>
        <w:t>předseda</w:t>
      </w:r>
    </w:p>
    <w:p w14:paraId="1BAE3FC0" w14:textId="18CF4778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14:paraId="30E06557" w14:textId="41044518" w:rsidR="00266F7B" w:rsidRDefault="00266F7B" w:rsidP="00A01250">
      <w:pPr>
        <w:spacing w:after="0" w:line="240" w:lineRule="auto"/>
        <w:jc w:val="both"/>
        <w:rPr>
          <w:i/>
        </w:rPr>
      </w:pPr>
    </w:p>
    <w:p w14:paraId="5BDB808F" w14:textId="06695023" w:rsidR="00266F7B" w:rsidRDefault="00266F7B" w:rsidP="00A01250">
      <w:pPr>
        <w:spacing w:after="0" w:line="240" w:lineRule="auto"/>
        <w:jc w:val="both"/>
        <w:rPr>
          <w:i/>
        </w:rPr>
      </w:pPr>
    </w:p>
    <w:p w14:paraId="11340B09" w14:textId="498ECF67" w:rsidR="00266F7B" w:rsidRDefault="00266F7B" w:rsidP="00A01250">
      <w:pPr>
        <w:spacing w:after="0" w:line="240" w:lineRule="auto"/>
        <w:jc w:val="both"/>
        <w:rPr>
          <w:i/>
        </w:rPr>
      </w:pPr>
    </w:p>
    <w:p w14:paraId="06B78122" w14:textId="6D4D7306" w:rsidR="00266F7B" w:rsidRDefault="00266F7B" w:rsidP="00A01250">
      <w:pPr>
        <w:spacing w:after="0" w:line="240" w:lineRule="auto"/>
        <w:jc w:val="both"/>
        <w:rPr>
          <w:i/>
        </w:rPr>
      </w:pPr>
    </w:p>
    <w:p w14:paraId="4F4294CE" w14:textId="33A18ECA" w:rsidR="00266F7B" w:rsidRDefault="00266F7B" w:rsidP="00A01250">
      <w:pPr>
        <w:spacing w:after="0" w:line="240" w:lineRule="auto"/>
        <w:jc w:val="both"/>
        <w:rPr>
          <w:i/>
        </w:rPr>
      </w:pPr>
    </w:p>
    <w:p w14:paraId="57EFA70F" w14:textId="019B319C" w:rsidR="00266F7B" w:rsidRDefault="00266F7B" w:rsidP="00A01250">
      <w:pPr>
        <w:spacing w:after="0" w:line="240" w:lineRule="auto"/>
        <w:jc w:val="both"/>
        <w:rPr>
          <w:i/>
        </w:rPr>
      </w:pPr>
    </w:p>
    <w:p w14:paraId="39CAED5D" w14:textId="33F78A54" w:rsidR="00266F7B" w:rsidRDefault="00266F7B" w:rsidP="00A01250">
      <w:pPr>
        <w:spacing w:after="0" w:line="240" w:lineRule="auto"/>
        <w:jc w:val="both"/>
        <w:rPr>
          <w:i/>
        </w:rPr>
      </w:pPr>
    </w:p>
    <w:p w14:paraId="3A8278CE" w14:textId="66B845A7" w:rsidR="00266F7B" w:rsidRDefault="00266F7B" w:rsidP="00A01250">
      <w:pPr>
        <w:spacing w:after="0" w:line="240" w:lineRule="auto"/>
        <w:jc w:val="both"/>
        <w:rPr>
          <w:i/>
        </w:rPr>
      </w:pPr>
    </w:p>
    <w:p w14:paraId="4654F481" w14:textId="6EADEF57" w:rsidR="00266F7B" w:rsidRDefault="00266F7B" w:rsidP="00A01250">
      <w:pPr>
        <w:spacing w:after="0" w:line="240" w:lineRule="auto"/>
        <w:jc w:val="both"/>
        <w:rPr>
          <w:i/>
        </w:rPr>
      </w:pPr>
    </w:p>
    <w:p w14:paraId="21C3DD09" w14:textId="1E1AC891" w:rsidR="001D06AB" w:rsidRDefault="001D06AB" w:rsidP="00A01250">
      <w:pPr>
        <w:spacing w:after="0" w:line="240" w:lineRule="auto"/>
        <w:jc w:val="both"/>
        <w:rPr>
          <w:i/>
        </w:rPr>
      </w:pPr>
    </w:p>
    <w:p w14:paraId="048D3759" w14:textId="0F247EA1" w:rsidR="00D97CB6" w:rsidRDefault="00D97CB6" w:rsidP="00A01250">
      <w:pPr>
        <w:spacing w:after="0" w:line="240" w:lineRule="auto"/>
        <w:jc w:val="both"/>
        <w:rPr>
          <w:i/>
        </w:rPr>
      </w:pPr>
    </w:p>
    <w:p w14:paraId="061A97CC" w14:textId="00250A61" w:rsidR="006B0B4E" w:rsidRDefault="006B0B4E" w:rsidP="00A01250">
      <w:pPr>
        <w:spacing w:after="0" w:line="240" w:lineRule="auto"/>
        <w:jc w:val="both"/>
        <w:rPr>
          <w:i/>
        </w:rPr>
      </w:pPr>
    </w:p>
    <w:p w14:paraId="280BE2C3" w14:textId="587EA1E7" w:rsidR="006B0B4E" w:rsidRDefault="006B0B4E" w:rsidP="00A01250">
      <w:pPr>
        <w:spacing w:after="0" w:line="240" w:lineRule="auto"/>
        <w:jc w:val="both"/>
        <w:rPr>
          <w:i/>
        </w:rPr>
      </w:pPr>
    </w:p>
    <w:p w14:paraId="0D160851" w14:textId="7CD1F3DA" w:rsidR="006B0B4E" w:rsidRDefault="006B0B4E" w:rsidP="00A01250">
      <w:pPr>
        <w:spacing w:after="0" w:line="240" w:lineRule="auto"/>
        <w:jc w:val="both"/>
        <w:rPr>
          <w:i/>
        </w:rPr>
      </w:pPr>
    </w:p>
    <w:p w14:paraId="1D84FCF7" w14:textId="10E80B5A" w:rsidR="006B0B4E" w:rsidRDefault="006B0B4E" w:rsidP="00A01250">
      <w:pPr>
        <w:spacing w:after="0" w:line="240" w:lineRule="auto"/>
        <w:jc w:val="both"/>
        <w:rPr>
          <w:i/>
        </w:rPr>
      </w:pPr>
    </w:p>
    <w:p w14:paraId="31083C49" w14:textId="6207F2D1" w:rsidR="006B0B4E" w:rsidRDefault="006B0B4E" w:rsidP="00A01250">
      <w:pPr>
        <w:spacing w:after="0" w:line="240" w:lineRule="auto"/>
        <w:jc w:val="both"/>
        <w:rPr>
          <w:i/>
        </w:rPr>
      </w:pPr>
    </w:p>
    <w:p w14:paraId="65FB1949" w14:textId="2DA17478" w:rsidR="006B0B4E" w:rsidRDefault="006B0B4E" w:rsidP="00A01250">
      <w:pPr>
        <w:spacing w:after="0" w:line="240" w:lineRule="auto"/>
        <w:jc w:val="both"/>
        <w:rPr>
          <w:i/>
        </w:rPr>
      </w:pPr>
    </w:p>
    <w:p w14:paraId="25FDDF5C" w14:textId="77777777" w:rsidR="006B0B4E" w:rsidRDefault="006B0B4E" w:rsidP="00A01250">
      <w:pPr>
        <w:spacing w:after="0" w:line="240" w:lineRule="auto"/>
        <w:jc w:val="both"/>
        <w:rPr>
          <w:i/>
        </w:rPr>
      </w:pPr>
    </w:p>
    <w:p w14:paraId="1BB0C026" w14:textId="57B144EC" w:rsidR="00D97CB6" w:rsidRDefault="00D97CB6" w:rsidP="00A01250">
      <w:pPr>
        <w:spacing w:after="0" w:line="240" w:lineRule="auto"/>
        <w:jc w:val="both"/>
        <w:rPr>
          <w:i/>
        </w:rPr>
      </w:pPr>
    </w:p>
    <w:p w14:paraId="46AE08F2" w14:textId="5E25DD04" w:rsidR="00D97CB6" w:rsidRDefault="00D97CB6" w:rsidP="00A01250">
      <w:pPr>
        <w:spacing w:after="0" w:line="240" w:lineRule="auto"/>
        <w:jc w:val="both"/>
        <w:rPr>
          <w:i/>
        </w:rPr>
      </w:pPr>
    </w:p>
    <w:p w14:paraId="6D9CCD39" w14:textId="33C6761E" w:rsidR="00D97CB6" w:rsidRDefault="00D97CB6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52AE4" w:rsidRPr="00D52AE4" w14:paraId="5C871222" w14:textId="77777777" w:rsidTr="00E13647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B178639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7. schůze</w:t>
            </w: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10.03.2022 - 13:56:45</w:t>
            </w:r>
          </w:p>
          <w:p w14:paraId="10851519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D52AE4" w:rsidRPr="00D52AE4" w14:paraId="68CA9F3A" w14:textId="77777777" w:rsidTr="00D52A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CF8914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404B618A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73611D2B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E9D36F" w14:textId="77777777" w:rsidR="00D52AE4" w:rsidRPr="00D52AE4" w:rsidRDefault="00D52AE4" w:rsidP="00D5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A8DE46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4A3FA427" w14:textId="77777777" w:rsidTr="00D52AE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D52AE4" w:rsidRPr="00D52AE4" w14:paraId="3C4959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413BF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6566B0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54501F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9927CAB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3C589EF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4EF453A" w14:textId="77777777" w:rsidR="00D52AE4" w:rsidRPr="00D52AE4" w:rsidRDefault="00D52AE4" w:rsidP="00D52A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6893D18" w14:textId="77777777" w:rsidR="00D52AE4" w:rsidRPr="00D52AE4" w:rsidRDefault="00D52AE4" w:rsidP="00D52A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29AE22FE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D52AE4" w:rsidRPr="00D52AE4" w14:paraId="78B9E18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F97BC9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0EC574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0E0D276C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30522F6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41D64D7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8812C1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8427B9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F4A9B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20A71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B687E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896AE2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D52AE4" w:rsidRPr="00D52AE4" w14:paraId="74DF9A1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567E278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67ED9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116A3A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2526C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4CCBB4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2F691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127D639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F29049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5497427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D52AE4" w:rsidRPr="00D52AE4" w14:paraId="4AD98A7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962DFE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6F2B3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6A1B486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78872FB0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53CF102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DE65AA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EF03B2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6DB4CF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BE277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FCD7E6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F359F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9AC7812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3D7B61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1423E49E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D52AE4" w:rsidRPr="00D52AE4" w14:paraId="12145B5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B32F99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35E80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2020FC6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52A4E8FB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2AAFAC4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0063207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BA0BF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69B8E8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E75C4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CBA18C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0179E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06FF8B4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B8ACBFD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0A466C61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D52AE4" w:rsidRPr="00D52AE4" w14:paraId="39A3D9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C0647B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DB85A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DE7376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3C934718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74F30ED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B86A8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DC8E99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574238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9458DB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217C7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AF94FB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B8C3328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1B3B15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5118A6C1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D52AE4" w:rsidRPr="00D52AE4" w14:paraId="7FD6B0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B68CE4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47CED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A40C028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2496AF41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4A3BAF8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9C22D5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52BD7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3B9463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B8741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4AF6F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F2372E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D52AE4" w:rsidRPr="00D52AE4" w14:paraId="77081C8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EC8F939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0DE83C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93084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B0AA3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7FACF7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1B729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3AD1F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3CE0A02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644747E8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D52AE4" w:rsidRPr="00D52AE4" w14:paraId="13E7081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62CDCF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7E6B4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12D5CA1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03C2E2AE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2F833F8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9E6AB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6FF93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B8A8E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35157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8544C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AB87BD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288D55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7ED6CB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00B8B84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D52AE4" w:rsidRPr="00D52AE4" w14:paraId="33E7C44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0322AF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564D7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D6181AD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4122E064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039623E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82E50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99C1F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B42143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6CE812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0FE77C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305E1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EBE0FC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20722AF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74CD1B49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D52AE4" w:rsidRPr="00D52AE4" w14:paraId="02982D7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CA82EC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0D483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314ECCC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55167612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35C2902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B9CB3C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AAE27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BDE596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1D91D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70E9F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CC115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41FDAB8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9BC7757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2AF2E39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D52AE4" w:rsidRPr="00D52AE4" w14:paraId="3E7C4A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3B268A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423F1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145B9BA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2A5D2DC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241EDE1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313167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50B20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CBCE7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BC0C4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3025B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228A4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3B2091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A68A94D" w14:textId="77777777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A1A26F" w14:textId="3B0E256E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D52AE4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7, čas 13:56:45</w:t>
      </w:r>
    </w:p>
    <w:p w14:paraId="28BEC993" w14:textId="7B33131E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1715B62" w14:textId="3C2B83A8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C66A210" w14:textId="5DDAE36F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1540E10" w14:textId="28584A42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E257BD9" w14:textId="2C94262E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A89794B" w14:textId="177F7BB4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0B971D3" w14:textId="38ACB223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3AC194" w14:textId="7FBC3ABF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26ADEA" w14:textId="4EC5CE7D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8F6183" w14:textId="1C4C39BA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34F4AF8" w14:textId="6B5C7297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A50D74" w14:textId="77777777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28AA50" w14:textId="522210D2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52AE4" w:rsidRPr="00D52AE4" w14:paraId="31906247" w14:textId="77777777" w:rsidTr="00D52AE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B402A32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7. schůze</w:t>
            </w: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10.03.2022 - 14:05:25</w:t>
            </w:r>
          </w:p>
          <w:p w14:paraId="279F9E80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D52AE4" w:rsidRPr="00D52AE4" w14:paraId="0D51D1CA" w14:textId="77777777" w:rsidTr="00D52A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17061A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Vl. n. na půs. sil a prostř. MO v rámci NATO v SR /ST 180/. </w:t>
            </w:r>
          </w:p>
        </w:tc>
      </w:tr>
    </w:tbl>
    <w:p w14:paraId="16E9EAA8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5EEBEB9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DBF252" w14:textId="77777777" w:rsidR="00D52AE4" w:rsidRPr="00D52AE4" w:rsidRDefault="00D52AE4" w:rsidP="00D5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BBAA5E0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3F56F487" w14:textId="77777777" w:rsidTr="00D52AE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D52AE4" w:rsidRPr="00D52AE4" w14:paraId="77354F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7A52EC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CC0BB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E9449D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6FA2788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5CB66D8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338A677" w14:textId="77777777" w:rsidR="00D52AE4" w:rsidRPr="00D52AE4" w:rsidRDefault="00D52AE4" w:rsidP="00D52A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5EFBBF5" w14:textId="77777777" w:rsidR="00D52AE4" w:rsidRPr="00D52AE4" w:rsidRDefault="00D52AE4" w:rsidP="00D52A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0C0FAD45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D52AE4" w:rsidRPr="00D52AE4" w14:paraId="3DCB405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0A6278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7085D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396FAB69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31A61F7D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4857F11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076E68A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7717FE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E05FA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C1CD8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F586E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446EB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D52AE4" w:rsidRPr="00D52AE4" w14:paraId="73F116D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0C8E94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AB290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51EDB3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18C50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4C08B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F8416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306A9A0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D12D960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7AFD5A21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D52AE4" w:rsidRPr="00D52AE4" w14:paraId="3D2724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2A15FC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9A43C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21A967BC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0345D1BE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17BE25C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77A516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053BF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DB7AE8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06E4E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877A5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6CEC9E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4BC9FA7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8C141B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368AED7E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D52AE4" w:rsidRPr="00D52AE4" w14:paraId="2F51A4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EC1E7D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5A614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A2C0A10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05FEDE56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1523F2F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AC5C0E9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865EB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EC9BE6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25A55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44CBD4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4C59F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2C6A83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A44C4E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3B25A7E4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D52AE4" w:rsidRPr="00D52AE4" w14:paraId="137B555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10159E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1A1A99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D86E5AA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39E93B1A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2572CBE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EA6967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E8303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8FBDE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3FDC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DCDA5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B059D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05CF29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38D1ACE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0BCF76EA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D52AE4" w:rsidRPr="00D52AE4" w14:paraId="2CC1B64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4A19D2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CD3D9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E7BBB5C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13D5F7C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37404CF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11B538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61E064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EA14E6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309AB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AC2C2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27C869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D52AE4" w:rsidRPr="00D52AE4" w14:paraId="33951FB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8D5A45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0EFDD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2DFA14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DF8F3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86AC97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97F4BE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EDE779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2907494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136B3B0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D52AE4" w:rsidRPr="00D52AE4" w14:paraId="2889686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D503F8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060F64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77725D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4149ED25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7DBC88C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3C4E5FF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B828AE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FD41CC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D21DD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D01FD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63623D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D883ED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C1B7A4F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2350E39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D52AE4" w:rsidRPr="00D52AE4" w14:paraId="13EA58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3008AE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C9EF34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048C8ED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015DA949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650032A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391517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EAF46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AE5C8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1F488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2D6AE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6C262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A523DD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33FA63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1A84E5F6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D52AE4" w:rsidRPr="00D52AE4" w14:paraId="5FFDAE3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196987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F242E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211A8C9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70F438BA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066352C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76D80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4A26DD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C1A741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3A409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CC510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4E06B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B6C332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4311E08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508FA4A1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D52AE4" w:rsidRPr="00D52AE4" w14:paraId="092599C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5A1510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E6DFD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288AE34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6721A658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4B295D8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ABA6F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31CAA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37DF28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78B26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6043E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1AAB4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F67CE2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FEC3382" w14:textId="4B4CEA57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D52AE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52AE4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7, čas 14:05:25</w:t>
      </w:r>
    </w:p>
    <w:p w14:paraId="60C6E4FE" w14:textId="2A3104ED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596C354" w14:textId="22994717" w:rsidR="00D52AE4" w:rsidRDefault="00D52AE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48F0E8" w14:textId="7AF8312F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83C506" w14:textId="3367BA16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5ABF67" w14:textId="35CB361D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E7C2F6" w14:textId="738F2A23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6506ADA" w14:textId="7C6AF0F8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AB5906" w14:textId="183C12DD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3AC6401" w14:textId="19612A48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9FD9B5" w14:textId="3468DAC6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59DBA64" w14:textId="77777777" w:rsidR="00E13647" w:rsidRDefault="00E13647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52AE4" w:rsidRPr="00D52AE4" w14:paraId="53902730" w14:textId="77777777" w:rsidTr="00D52AE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B8C29C0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7. schůze</w:t>
            </w: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10.03.2022 - 14:13:20</w:t>
            </w:r>
          </w:p>
          <w:p w14:paraId="6B2A5F1F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D52AE4" w:rsidRPr="00D52AE4" w14:paraId="1105E4E9" w14:textId="77777777" w:rsidTr="00D52A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3C5140" w14:textId="77777777" w:rsidR="00D52AE4" w:rsidRPr="00D52AE4" w:rsidRDefault="00D52AE4" w:rsidP="00D5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1. doplněk k účásti OS ČR na voj. cv. mimo ČR a účast OS jiných států na voj. cv. v ČR /ST 181/. </w:t>
            </w:r>
          </w:p>
        </w:tc>
      </w:tr>
    </w:tbl>
    <w:p w14:paraId="2A2B7E43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0DE20C81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978BFB" w14:textId="77777777" w:rsidR="00D52AE4" w:rsidRPr="00D52AE4" w:rsidRDefault="00D52AE4" w:rsidP="00D5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066F0E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187B0461" w14:textId="77777777" w:rsidTr="00D52AE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D52AE4" w:rsidRPr="00D52AE4" w14:paraId="27C99A9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DF3CC8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02BB68D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06F64B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E23887E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381D51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C3BAD79" w14:textId="77777777" w:rsidR="00D52AE4" w:rsidRPr="00D52AE4" w:rsidRDefault="00D52AE4" w:rsidP="00D52A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263B5CF" w14:textId="77777777" w:rsidR="00D52AE4" w:rsidRPr="00D52AE4" w:rsidRDefault="00D52AE4" w:rsidP="00D52A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57F8B80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D52AE4" w:rsidRPr="00D52AE4" w14:paraId="1F48F4F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42A55D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CE881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4CEA6A31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6A698027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3363605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BBA049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50143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2359C4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37965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901F5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0E1C6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D52AE4" w:rsidRPr="00D52AE4" w14:paraId="0052FFE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7314A4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EB8BC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5F2876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A033C6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EF04F9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9EC0B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B30CE5D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C66537D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665FC31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D52AE4" w:rsidRPr="00D52AE4" w14:paraId="6362BE6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9DD294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A44E7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E2FAF2A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23802F62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5A23D08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CCF5BF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FC5B6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4C69E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876C5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5447C1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51A49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B02BFA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A68CC9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37CF262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D52AE4" w:rsidRPr="00D52AE4" w14:paraId="327C176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73A7C1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F75B7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D9BA9D5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5B6ABD17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2367F9B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F83F0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95B4BF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43E3C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84E0A4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AACDA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A0018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E4324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E504A2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67EFECE9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D52AE4" w:rsidRPr="00D52AE4" w14:paraId="19D39F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EF7631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96309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697C866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45710EB0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2428DF8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608A2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A0B609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74563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1BE80C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A2086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29FF02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13CB74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4D3ED8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1A85A333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D52AE4" w:rsidRPr="00D52AE4" w14:paraId="7AA974A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70B431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BD9FD4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1ED5FEB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402A2EB3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1327825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3D2936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6E836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B3F934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6C4A9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76185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91604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D52AE4" w:rsidRPr="00D52AE4" w14:paraId="58B280F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DC0623A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85395E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F68D0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8C78F8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0983A7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0C9B6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09F5D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4E55D5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3AF0CA8D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D52AE4" w:rsidRPr="00D52AE4" w14:paraId="1D0E16A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3F86D3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241A33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087F5E3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1E576E3A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71A5751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29748D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D1E367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0DBFF5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89F62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B59322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DA4C1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8A5E7A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B2C5CF2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3BDAF59F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D52AE4" w:rsidRPr="00D52AE4" w14:paraId="1FB666D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F67A65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C23D4B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3937AC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2396804C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5F0B74F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A0DA4DC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7A6C6E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9E900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073A4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52729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03777B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93D671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FC4B5E1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687166EB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D52AE4" w:rsidRPr="00D52AE4" w14:paraId="25B422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826384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306C3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A974652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2FB4E79A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7669289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18628E0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DAFB9A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F3482B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2471F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34CA21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3B0CDB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B470C70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A25BA4A" w14:textId="77777777" w:rsidR="00D52AE4" w:rsidRPr="00D52AE4" w:rsidRDefault="00D52AE4" w:rsidP="00D52AE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52AE4" w:rsidRPr="00D52AE4" w14:paraId="14A2E42B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D52AE4" w:rsidRPr="00D52AE4" w14:paraId="359EFD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687D54" w14:textId="77777777" w:rsidR="00D52AE4" w:rsidRPr="00D52AE4" w:rsidRDefault="00D52AE4" w:rsidP="00D52A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9CCE30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52AE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F5CC29E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52AE4" w:rsidRPr="00D52AE4" w14:paraId="30655FA5" w14:textId="77777777" w:rsidTr="00D52A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D52AE4" w:rsidRPr="00D52AE4" w14:paraId="66B5799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180503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851131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F15B1D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41715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A57EDA" w14:textId="77777777" w:rsidR="00D52AE4" w:rsidRPr="00D52AE4" w:rsidRDefault="00D52AE4" w:rsidP="00D52A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005B25" w14:textId="77777777" w:rsidR="00D52AE4" w:rsidRPr="00D52AE4" w:rsidRDefault="00D52AE4" w:rsidP="00D52AE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D52AE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B06D6A5" w14:textId="77777777" w:rsidR="00D52AE4" w:rsidRPr="00D52AE4" w:rsidRDefault="00D52AE4" w:rsidP="00D52AE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062BD65" w14:textId="3C12FF67" w:rsidR="00D52AE4" w:rsidRDefault="00D52AE4" w:rsidP="00A01250">
      <w:pPr>
        <w:spacing w:after="0" w:line="240" w:lineRule="auto"/>
        <w:jc w:val="both"/>
        <w:rPr>
          <w:i/>
        </w:rPr>
      </w:pPr>
      <w:r w:rsidRPr="00D52AE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52AE4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7, čas 14:13:20</w:t>
      </w:r>
    </w:p>
    <w:sectPr w:rsidR="00D52AE4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0D3D20" w:rsidRDefault="000D3D20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0D3D20" w:rsidRDefault="000D3D20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4D0AA647" w:rsidR="000D3D20" w:rsidRDefault="000D3D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66D4">
      <w:rPr>
        <w:noProof/>
      </w:rPr>
      <w:t>3</w:t>
    </w:r>
    <w:r>
      <w:fldChar w:fldCharType="end"/>
    </w:r>
  </w:p>
  <w:p w14:paraId="329FB43F" w14:textId="77777777" w:rsidR="000D3D20" w:rsidRDefault="000D3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0D3D20" w:rsidRDefault="000D3D20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0D3D20" w:rsidRDefault="000D3D20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364D"/>
    <w:rsid w:val="000244D9"/>
    <w:rsid w:val="00025B90"/>
    <w:rsid w:val="00026B32"/>
    <w:rsid w:val="000270C1"/>
    <w:rsid w:val="000278EA"/>
    <w:rsid w:val="00027FD8"/>
    <w:rsid w:val="00032B55"/>
    <w:rsid w:val="00032C91"/>
    <w:rsid w:val="00033ECF"/>
    <w:rsid w:val="0003514A"/>
    <w:rsid w:val="00041207"/>
    <w:rsid w:val="00041FD8"/>
    <w:rsid w:val="00042C34"/>
    <w:rsid w:val="00044242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7C1D"/>
    <w:rsid w:val="00097EAF"/>
    <w:rsid w:val="000A0703"/>
    <w:rsid w:val="000A0840"/>
    <w:rsid w:val="000A176A"/>
    <w:rsid w:val="000A2A73"/>
    <w:rsid w:val="000A37B4"/>
    <w:rsid w:val="000B1DDA"/>
    <w:rsid w:val="000B422C"/>
    <w:rsid w:val="000B4EBD"/>
    <w:rsid w:val="000B4FA4"/>
    <w:rsid w:val="000B5801"/>
    <w:rsid w:val="000B5A36"/>
    <w:rsid w:val="000C1221"/>
    <w:rsid w:val="000C12C5"/>
    <w:rsid w:val="000C20F3"/>
    <w:rsid w:val="000C2340"/>
    <w:rsid w:val="000C2CAD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93"/>
    <w:rsid w:val="000E0ECA"/>
    <w:rsid w:val="000E1392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3CCF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74AF"/>
    <w:rsid w:val="001575E5"/>
    <w:rsid w:val="00160299"/>
    <w:rsid w:val="00161261"/>
    <w:rsid w:val="001639C1"/>
    <w:rsid w:val="00163ADE"/>
    <w:rsid w:val="00163C09"/>
    <w:rsid w:val="00164719"/>
    <w:rsid w:val="00165B02"/>
    <w:rsid w:val="00165B5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878"/>
    <w:rsid w:val="001A2F64"/>
    <w:rsid w:val="001A3708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7F1A"/>
    <w:rsid w:val="001E16C0"/>
    <w:rsid w:val="001E2271"/>
    <w:rsid w:val="001E2F1E"/>
    <w:rsid w:val="001E33B6"/>
    <w:rsid w:val="001E57D1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266D4"/>
    <w:rsid w:val="00230024"/>
    <w:rsid w:val="00230671"/>
    <w:rsid w:val="002331D7"/>
    <w:rsid w:val="00233FE6"/>
    <w:rsid w:val="0023525A"/>
    <w:rsid w:val="00236378"/>
    <w:rsid w:val="0024038A"/>
    <w:rsid w:val="002431F7"/>
    <w:rsid w:val="002433ED"/>
    <w:rsid w:val="00243642"/>
    <w:rsid w:val="0024615E"/>
    <w:rsid w:val="002469F4"/>
    <w:rsid w:val="00247A16"/>
    <w:rsid w:val="0025127B"/>
    <w:rsid w:val="00251C16"/>
    <w:rsid w:val="00252348"/>
    <w:rsid w:val="002527F2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400"/>
    <w:rsid w:val="00296FA4"/>
    <w:rsid w:val="002973C9"/>
    <w:rsid w:val="002A52DC"/>
    <w:rsid w:val="002A65C7"/>
    <w:rsid w:val="002A720C"/>
    <w:rsid w:val="002B0182"/>
    <w:rsid w:val="002B382C"/>
    <w:rsid w:val="002B4663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44CE"/>
    <w:rsid w:val="002F4E8E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20D1"/>
    <w:rsid w:val="00312437"/>
    <w:rsid w:val="003127D6"/>
    <w:rsid w:val="00313A68"/>
    <w:rsid w:val="003141E3"/>
    <w:rsid w:val="0031448B"/>
    <w:rsid w:val="003157C2"/>
    <w:rsid w:val="00316FFE"/>
    <w:rsid w:val="00320707"/>
    <w:rsid w:val="00320DBD"/>
    <w:rsid w:val="00320E66"/>
    <w:rsid w:val="00321AA0"/>
    <w:rsid w:val="003221DB"/>
    <w:rsid w:val="00324015"/>
    <w:rsid w:val="003256A7"/>
    <w:rsid w:val="00326D97"/>
    <w:rsid w:val="00327450"/>
    <w:rsid w:val="00330274"/>
    <w:rsid w:val="00331252"/>
    <w:rsid w:val="003315A7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4915"/>
    <w:rsid w:val="003D006E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605B"/>
    <w:rsid w:val="0040629B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C0B"/>
    <w:rsid w:val="004655DA"/>
    <w:rsid w:val="004670F3"/>
    <w:rsid w:val="0047168D"/>
    <w:rsid w:val="004717B4"/>
    <w:rsid w:val="00473852"/>
    <w:rsid w:val="0048068A"/>
    <w:rsid w:val="0048142C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2E7C"/>
    <w:rsid w:val="004A40F4"/>
    <w:rsid w:val="004A49DC"/>
    <w:rsid w:val="004A4E0A"/>
    <w:rsid w:val="004A5FA2"/>
    <w:rsid w:val="004A684D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5339"/>
    <w:rsid w:val="004C547A"/>
    <w:rsid w:val="004C6799"/>
    <w:rsid w:val="004C6A8F"/>
    <w:rsid w:val="004C7FE0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E5FB6"/>
    <w:rsid w:val="004F4264"/>
    <w:rsid w:val="004F5D04"/>
    <w:rsid w:val="005011B3"/>
    <w:rsid w:val="0050228D"/>
    <w:rsid w:val="00505FE3"/>
    <w:rsid w:val="0050626D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578F"/>
    <w:rsid w:val="005466D4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582E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8DA"/>
    <w:rsid w:val="005C3BE5"/>
    <w:rsid w:val="005C4DAC"/>
    <w:rsid w:val="005C5593"/>
    <w:rsid w:val="005C622E"/>
    <w:rsid w:val="005C62E8"/>
    <w:rsid w:val="005C73EA"/>
    <w:rsid w:val="005D06D4"/>
    <w:rsid w:val="005D1972"/>
    <w:rsid w:val="005D2A18"/>
    <w:rsid w:val="005D3779"/>
    <w:rsid w:val="005D4C86"/>
    <w:rsid w:val="005D648A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BE"/>
    <w:rsid w:val="006A6AC1"/>
    <w:rsid w:val="006B0B4E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F6A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3705"/>
    <w:rsid w:val="00793CC6"/>
    <w:rsid w:val="00796076"/>
    <w:rsid w:val="007A0B73"/>
    <w:rsid w:val="007A39F2"/>
    <w:rsid w:val="007A4879"/>
    <w:rsid w:val="007B0A8F"/>
    <w:rsid w:val="007B2DBB"/>
    <w:rsid w:val="007B44BB"/>
    <w:rsid w:val="007B4EB3"/>
    <w:rsid w:val="007B66A7"/>
    <w:rsid w:val="007B6AB2"/>
    <w:rsid w:val="007C050A"/>
    <w:rsid w:val="007C0859"/>
    <w:rsid w:val="007C3E1A"/>
    <w:rsid w:val="007C58C7"/>
    <w:rsid w:val="007C6065"/>
    <w:rsid w:val="007C6CAA"/>
    <w:rsid w:val="007C7D54"/>
    <w:rsid w:val="007C7FF2"/>
    <w:rsid w:val="007D3E73"/>
    <w:rsid w:val="007D4F31"/>
    <w:rsid w:val="007D598D"/>
    <w:rsid w:val="007D5D94"/>
    <w:rsid w:val="007D66FB"/>
    <w:rsid w:val="007E197D"/>
    <w:rsid w:val="007E45BA"/>
    <w:rsid w:val="007F0844"/>
    <w:rsid w:val="007F18A4"/>
    <w:rsid w:val="007F407B"/>
    <w:rsid w:val="007F448D"/>
    <w:rsid w:val="007F4891"/>
    <w:rsid w:val="007F4B8F"/>
    <w:rsid w:val="007F5570"/>
    <w:rsid w:val="007F5E6A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37C"/>
    <w:rsid w:val="008575C7"/>
    <w:rsid w:val="00857F3E"/>
    <w:rsid w:val="00860AE0"/>
    <w:rsid w:val="008626C6"/>
    <w:rsid w:val="008659A7"/>
    <w:rsid w:val="00870389"/>
    <w:rsid w:val="00871E6C"/>
    <w:rsid w:val="00872D91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401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387F"/>
    <w:rsid w:val="00973991"/>
    <w:rsid w:val="0097417C"/>
    <w:rsid w:val="00974A2D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3ABD"/>
    <w:rsid w:val="009B3B73"/>
    <w:rsid w:val="009B4C04"/>
    <w:rsid w:val="009B61D2"/>
    <w:rsid w:val="009B70FC"/>
    <w:rsid w:val="009B7B6F"/>
    <w:rsid w:val="009C0173"/>
    <w:rsid w:val="009C0B74"/>
    <w:rsid w:val="009C212F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830"/>
    <w:rsid w:val="009E04BB"/>
    <w:rsid w:val="009E069F"/>
    <w:rsid w:val="009E1FC6"/>
    <w:rsid w:val="009E2229"/>
    <w:rsid w:val="009E3DF5"/>
    <w:rsid w:val="009E4D2D"/>
    <w:rsid w:val="009E590C"/>
    <w:rsid w:val="009E6DE0"/>
    <w:rsid w:val="009E6DE8"/>
    <w:rsid w:val="009F0009"/>
    <w:rsid w:val="009F0149"/>
    <w:rsid w:val="009F189D"/>
    <w:rsid w:val="009F25B6"/>
    <w:rsid w:val="009F2A82"/>
    <w:rsid w:val="009F4293"/>
    <w:rsid w:val="009F47B9"/>
    <w:rsid w:val="009F4A91"/>
    <w:rsid w:val="009F5A10"/>
    <w:rsid w:val="009F7E3C"/>
    <w:rsid w:val="00A00BBF"/>
    <w:rsid w:val="00A01250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257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102E8"/>
    <w:rsid w:val="00B121DA"/>
    <w:rsid w:val="00B12C97"/>
    <w:rsid w:val="00B139EF"/>
    <w:rsid w:val="00B13DD7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B3196"/>
    <w:rsid w:val="00BC0025"/>
    <w:rsid w:val="00BC04ED"/>
    <w:rsid w:val="00BC3A6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58B"/>
    <w:rsid w:val="00CE07A0"/>
    <w:rsid w:val="00CE1054"/>
    <w:rsid w:val="00CE1632"/>
    <w:rsid w:val="00CE1CBE"/>
    <w:rsid w:val="00CE22E4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7A1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8A4"/>
    <w:rsid w:val="00D65D99"/>
    <w:rsid w:val="00D67FAB"/>
    <w:rsid w:val="00D73953"/>
    <w:rsid w:val="00D751FC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5D11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2C78"/>
    <w:rsid w:val="00DE3431"/>
    <w:rsid w:val="00DE58F1"/>
    <w:rsid w:val="00DE6C4E"/>
    <w:rsid w:val="00DE7501"/>
    <w:rsid w:val="00DF1DB6"/>
    <w:rsid w:val="00DF29B1"/>
    <w:rsid w:val="00DF4FBD"/>
    <w:rsid w:val="00DF511F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F8F"/>
    <w:rsid w:val="00E1133D"/>
    <w:rsid w:val="00E11775"/>
    <w:rsid w:val="00E13551"/>
    <w:rsid w:val="00E13647"/>
    <w:rsid w:val="00E141AC"/>
    <w:rsid w:val="00E143F7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E64"/>
    <w:rsid w:val="00EE0468"/>
    <w:rsid w:val="00EE372F"/>
    <w:rsid w:val="00EE48A5"/>
    <w:rsid w:val="00EE4E7A"/>
    <w:rsid w:val="00EE510B"/>
    <w:rsid w:val="00EE7D2B"/>
    <w:rsid w:val="00EF0768"/>
    <w:rsid w:val="00EF0918"/>
    <w:rsid w:val="00EF18EF"/>
    <w:rsid w:val="00EF1E5F"/>
    <w:rsid w:val="00EF36E6"/>
    <w:rsid w:val="00EF6E93"/>
    <w:rsid w:val="00EF7B35"/>
    <w:rsid w:val="00F00FE0"/>
    <w:rsid w:val="00F02C87"/>
    <w:rsid w:val="00F03CB1"/>
    <w:rsid w:val="00F03E1D"/>
    <w:rsid w:val="00F051FD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30855"/>
    <w:rsid w:val="00F30C6A"/>
    <w:rsid w:val="00F343FA"/>
    <w:rsid w:val="00F36ABB"/>
    <w:rsid w:val="00F36E7B"/>
    <w:rsid w:val="00F372D7"/>
    <w:rsid w:val="00F431C1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67551"/>
    <w:rsid w:val="00F73C5C"/>
    <w:rsid w:val="00F74D1A"/>
    <w:rsid w:val="00F802AC"/>
    <w:rsid w:val="00F81BA0"/>
    <w:rsid w:val="00F85B8A"/>
    <w:rsid w:val="00F86730"/>
    <w:rsid w:val="00F9121C"/>
    <w:rsid w:val="00F92D37"/>
    <w:rsid w:val="00F94063"/>
    <w:rsid w:val="00F952ED"/>
    <w:rsid w:val="00F96852"/>
    <w:rsid w:val="00F97010"/>
    <w:rsid w:val="00F9757B"/>
    <w:rsid w:val="00FA02E4"/>
    <w:rsid w:val="00FA209F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80B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74E"/>
    <w:rsid w:val="00FD1026"/>
    <w:rsid w:val="00FD11BC"/>
    <w:rsid w:val="00FD1A3B"/>
    <w:rsid w:val="00FD2CA2"/>
    <w:rsid w:val="00FD44E5"/>
    <w:rsid w:val="00FD5138"/>
    <w:rsid w:val="00FD574A"/>
    <w:rsid w:val="00FD63FE"/>
    <w:rsid w:val="00FD73D2"/>
    <w:rsid w:val="00FD7C5D"/>
    <w:rsid w:val="00FE0CD1"/>
    <w:rsid w:val="00FE14D3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6BCB-AE06-462F-9494-EA512BE8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7</Pages>
  <Words>1926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37</cp:revision>
  <cp:lastPrinted>2017-12-06T15:10:00Z</cp:lastPrinted>
  <dcterms:created xsi:type="dcterms:W3CDTF">2021-12-07T15:33:00Z</dcterms:created>
  <dcterms:modified xsi:type="dcterms:W3CDTF">2022-03-25T15:32:00Z</dcterms:modified>
</cp:coreProperties>
</file>