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C5" w:rsidRDefault="00EE32C5" w:rsidP="006A5BA4">
      <w:pPr>
        <w:jc w:val="right"/>
      </w:pPr>
      <w:bookmarkStart w:id="0" w:name="_GoBack"/>
      <w:bookmarkEnd w:id="0"/>
    </w:p>
    <w:p w:rsidR="00EE32C5" w:rsidRPr="00CA7182" w:rsidRDefault="00EE32C5" w:rsidP="00EE32C5">
      <w:pPr>
        <w:jc w:val="center"/>
        <w:rPr>
          <w:b/>
          <w:i/>
        </w:rPr>
      </w:pPr>
      <w:r w:rsidRPr="00CA7182">
        <w:rPr>
          <w:b/>
          <w:i/>
        </w:rPr>
        <w:t>Parlament České republiky</w:t>
      </w:r>
    </w:p>
    <w:p w:rsidR="00EE32C5" w:rsidRPr="00CA7182" w:rsidRDefault="00EE32C5" w:rsidP="00EE32C5">
      <w:pPr>
        <w:jc w:val="center"/>
        <w:rPr>
          <w:b/>
          <w:i/>
          <w:caps/>
          <w:sz w:val="36"/>
        </w:rPr>
      </w:pPr>
      <w:r w:rsidRPr="00CA7182">
        <w:rPr>
          <w:b/>
          <w:i/>
          <w:caps/>
          <w:sz w:val="36"/>
        </w:rPr>
        <w:t>POSLANECKÁ SNĚMOVNA</w:t>
      </w:r>
    </w:p>
    <w:p w:rsidR="00EE32C5" w:rsidRPr="00CA7182" w:rsidRDefault="00EE32C5" w:rsidP="00EE32C5">
      <w:pPr>
        <w:jc w:val="center"/>
        <w:rPr>
          <w:b/>
          <w:i/>
          <w:caps/>
          <w:sz w:val="36"/>
        </w:rPr>
      </w:pPr>
      <w:r>
        <w:rPr>
          <w:b/>
          <w:i/>
          <w:caps/>
          <w:sz w:val="36"/>
        </w:rPr>
        <w:t>2023</w:t>
      </w:r>
    </w:p>
    <w:p w:rsidR="00EE32C5" w:rsidRPr="00CA7182" w:rsidRDefault="00EE32C5" w:rsidP="00EE32C5">
      <w:pPr>
        <w:jc w:val="center"/>
        <w:rPr>
          <w:b/>
          <w:i/>
        </w:rPr>
      </w:pPr>
      <w:r>
        <w:rPr>
          <w:b/>
          <w:i/>
        </w:rPr>
        <w:t>9</w:t>
      </w:r>
      <w:r w:rsidRPr="00CA7182">
        <w:rPr>
          <w:b/>
          <w:i/>
        </w:rPr>
        <w:t>. volební období</w:t>
      </w:r>
    </w:p>
    <w:p w:rsidR="00EE32C5" w:rsidRPr="00CA7182" w:rsidRDefault="00EE32C5" w:rsidP="00EE32C5">
      <w:pPr>
        <w:spacing w:before="360" w:after="360"/>
        <w:jc w:val="center"/>
        <w:rPr>
          <w:b/>
          <w:i/>
        </w:rPr>
      </w:pPr>
      <w:r>
        <w:rPr>
          <w:b/>
          <w:i/>
        </w:rPr>
        <w:t>119</w:t>
      </w:r>
    </w:p>
    <w:p w:rsidR="00EE32C5" w:rsidRPr="00CA7182" w:rsidRDefault="00EE32C5" w:rsidP="00EE32C5">
      <w:pPr>
        <w:spacing w:after="0"/>
        <w:jc w:val="center"/>
        <w:rPr>
          <w:b/>
          <w:i/>
          <w:caps/>
          <w:sz w:val="32"/>
        </w:rPr>
      </w:pPr>
      <w:r w:rsidRPr="00CA7182">
        <w:rPr>
          <w:b/>
          <w:i/>
          <w:caps/>
          <w:sz w:val="32"/>
        </w:rPr>
        <w:t>USNESENÍ</w:t>
      </w:r>
    </w:p>
    <w:p w:rsidR="00EE32C5" w:rsidRPr="00CA7182" w:rsidRDefault="00EE32C5" w:rsidP="00EE32C5">
      <w:pPr>
        <w:spacing w:after="0"/>
        <w:jc w:val="center"/>
        <w:rPr>
          <w:b/>
          <w:i/>
        </w:rPr>
      </w:pPr>
      <w:r w:rsidRPr="00CA7182">
        <w:rPr>
          <w:b/>
          <w:i/>
        </w:rPr>
        <w:t>organizačního výboru</w:t>
      </w:r>
    </w:p>
    <w:p w:rsidR="00EE32C5" w:rsidRPr="00CA7182" w:rsidRDefault="00EE32C5" w:rsidP="00EE32C5">
      <w:pPr>
        <w:spacing w:after="0"/>
        <w:jc w:val="center"/>
        <w:rPr>
          <w:b/>
          <w:i/>
        </w:rPr>
      </w:pPr>
      <w:r>
        <w:rPr>
          <w:b/>
          <w:i/>
        </w:rPr>
        <w:t>z 24</w:t>
      </w:r>
      <w:r w:rsidRPr="00CA7182">
        <w:rPr>
          <w:b/>
          <w:i/>
        </w:rPr>
        <w:t>. schůze</w:t>
      </w:r>
    </w:p>
    <w:p w:rsidR="00EE32C5" w:rsidRPr="00CA7182" w:rsidRDefault="00EE32C5" w:rsidP="00EE32C5">
      <w:pPr>
        <w:jc w:val="center"/>
        <w:rPr>
          <w:b/>
          <w:i/>
        </w:rPr>
      </w:pPr>
      <w:r>
        <w:rPr>
          <w:b/>
          <w:i/>
        </w:rPr>
        <w:t>ze dne 11. ledna 2023</w:t>
      </w:r>
    </w:p>
    <w:p w:rsidR="00EE32C5" w:rsidRPr="00CA7182" w:rsidRDefault="00EE32C5" w:rsidP="00EE32C5">
      <w:pPr>
        <w:jc w:val="both"/>
      </w:pPr>
    </w:p>
    <w:p w:rsidR="00EE32C5" w:rsidRPr="00CA7182" w:rsidRDefault="00EE32C5" w:rsidP="00EE32C5">
      <w:pPr>
        <w:pBdr>
          <w:bottom w:val="single" w:sz="4" w:space="12" w:color="auto"/>
        </w:pBdr>
        <w:spacing w:before="240" w:after="400"/>
        <w:jc w:val="both"/>
      </w:pPr>
      <w:r w:rsidRPr="003326C8">
        <w:t>k</w:t>
      </w:r>
      <w:r>
        <w:t> návrhu Pravidel hospodaření poslaneckých klubů pro rok 2023</w:t>
      </w:r>
    </w:p>
    <w:p w:rsidR="00EE32C5" w:rsidRDefault="00EE32C5" w:rsidP="00B05FAF">
      <w:pPr>
        <w:tabs>
          <w:tab w:val="left" w:pos="-720"/>
        </w:tabs>
        <w:spacing w:after="0"/>
        <w:rPr>
          <w:b/>
          <w:spacing w:val="-3"/>
        </w:rPr>
      </w:pPr>
      <w:r w:rsidRPr="003B580D">
        <w:rPr>
          <w:b/>
          <w:spacing w:val="-3"/>
        </w:rPr>
        <w:t>Organizační výbor</w:t>
      </w:r>
      <w:r>
        <w:rPr>
          <w:b/>
          <w:spacing w:val="-3"/>
        </w:rPr>
        <w:t xml:space="preserve"> Poslanecké sněmovny</w:t>
      </w:r>
    </w:p>
    <w:p w:rsidR="00B05FAF" w:rsidRPr="00EE32C5" w:rsidRDefault="00B05FAF" w:rsidP="00EE32C5">
      <w:pPr>
        <w:tabs>
          <w:tab w:val="left" w:pos="-720"/>
        </w:tabs>
        <w:rPr>
          <w:b/>
          <w:spacing w:val="-3"/>
        </w:rPr>
      </w:pPr>
    </w:p>
    <w:p w:rsidR="00EE32C5" w:rsidRPr="000E147F" w:rsidRDefault="00EE32C5" w:rsidP="00EE32C5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ind w:left="1276" w:hanging="425"/>
        <w:jc w:val="both"/>
        <w:rPr>
          <w:color w:val="000000"/>
        </w:rPr>
      </w:pPr>
      <w:r w:rsidRPr="000E147F">
        <w:rPr>
          <w:b/>
          <w:color w:val="000000"/>
        </w:rPr>
        <w:t xml:space="preserve">doporučuje </w:t>
      </w:r>
      <w:r w:rsidRPr="000E147F">
        <w:rPr>
          <w:color w:val="000000"/>
        </w:rPr>
        <w:t>Poslanecké sněmovně přijmout následující usnesení:</w:t>
      </w:r>
    </w:p>
    <w:p w:rsidR="00EE32C5" w:rsidRPr="000E147F" w:rsidRDefault="00EE32C5" w:rsidP="00EE32C5">
      <w:pPr>
        <w:pStyle w:val="Bezmezer"/>
        <w:ind w:left="1080"/>
        <w:jc w:val="both"/>
        <w:rPr>
          <w:szCs w:val="24"/>
        </w:rPr>
      </w:pPr>
    </w:p>
    <w:p w:rsidR="00EE32C5" w:rsidRPr="000E147F" w:rsidRDefault="00EE32C5" w:rsidP="00EE32C5">
      <w:pPr>
        <w:pStyle w:val="Bezmezer"/>
        <w:ind w:left="1080"/>
        <w:jc w:val="both"/>
        <w:rPr>
          <w:szCs w:val="24"/>
        </w:rPr>
      </w:pPr>
    </w:p>
    <w:p w:rsidR="002B1214" w:rsidRPr="007B65F6" w:rsidRDefault="00EE32C5" w:rsidP="007B65F6">
      <w:pPr>
        <w:jc w:val="both"/>
      </w:pPr>
      <w:r w:rsidRPr="000E147F">
        <w:t>„Poslanecká sněmovna</w:t>
      </w:r>
    </w:p>
    <w:p w:rsidR="00EE32C5" w:rsidRPr="000E147F" w:rsidRDefault="00EE32C5" w:rsidP="00EE32C5">
      <w:pPr>
        <w:ind w:right="-567"/>
        <w:jc w:val="both"/>
      </w:pPr>
      <w:r w:rsidRPr="000E147F">
        <w:rPr>
          <w:b/>
        </w:rPr>
        <w:t xml:space="preserve">schvaluje </w:t>
      </w:r>
      <w:r w:rsidRPr="000E147F">
        <w:t>Pravidla hospodaření poslaneckých klubů pro rok 2023 s výší příspěvku měsíčně:</w:t>
      </w:r>
    </w:p>
    <w:p w:rsidR="00EE32C5" w:rsidRPr="000E147F" w:rsidRDefault="00EE32C5" w:rsidP="008F12A3">
      <w:pPr>
        <w:spacing w:after="0"/>
        <w:jc w:val="both"/>
      </w:pPr>
      <w:r w:rsidRPr="000E147F">
        <w:tab/>
        <w:t>pevná částka na kluby 27 000,-- Kč,</w:t>
      </w:r>
    </w:p>
    <w:p w:rsidR="00EE32C5" w:rsidRPr="000E147F" w:rsidRDefault="00EE32C5" w:rsidP="008F12A3">
      <w:pPr>
        <w:spacing w:after="0"/>
        <w:jc w:val="both"/>
      </w:pPr>
      <w:r w:rsidRPr="000E147F">
        <w:tab/>
        <w:t>variabilní částka na člena klubu vládní strany 5 845,-- Kč</w:t>
      </w:r>
    </w:p>
    <w:p w:rsidR="00EE32C5" w:rsidRDefault="00EE32C5" w:rsidP="00EE32C5">
      <w:pPr>
        <w:jc w:val="both"/>
      </w:pPr>
      <w:r w:rsidRPr="000E147F">
        <w:tab/>
        <w:t>a variabilní částka na člena klubu nevládní strany 7 599,-- Kč (koeficient 1,3).</w:t>
      </w:r>
    </w:p>
    <w:p w:rsidR="00EE32C5" w:rsidRPr="000E147F" w:rsidRDefault="00EE32C5" w:rsidP="00EE32C5">
      <w:pPr>
        <w:jc w:val="both"/>
      </w:pPr>
    </w:p>
    <w:p w:rsidR="00EE32C5" w:rsidRPr="000E147F" w:rsidRDefault="00EE32C5" w:rsidP="00EE32C5">
      <w:pPr>
        <w:jc w:val="both"/>
      </w:pPr>
      <w:r w:rsidRPr="000E147F">
        <w:t>Pravidla hospodaření poslaneckých klubů pro rok 2023 tvoří přílohu tohoto usnesení.</w:t>
      </w:r>
      <w:r>
        <w:t>“</w:t>
      </w:r>
      <w:r w:rsidRPr="000E147F">
        <w:t>;</w:t>
      </w:r>
    </w:p>
    <w:p w:rsidR="00EE32C5" w:rsidRPr="000E147F" w:rsidRDefault="00EE32C5" w:rsidP="00EE32C5">
      <w:pPr>
        <w:pStyle w:val="Bezmezer"/>
        <w:ind w:left="1080"/>
        <w:jc w:val="both"/>
        <w:rPr>
          <w:szCs w:val="24"/>
        </w:rPr>
      </w:pPr>
    </w:p>
    <w:p w:rsidR="00EE32C5" w:rsidRPr="000E147F" w:rsidRDefault="00EE32C5" w:rsidP="00EE32C5">
      <w:pPr>
        <w:pStyle w:val="Bezmezer"/>
        <w:jc w:val="both"/>
        <w:rPr>
          <w:szCs w:val="24"/>
        </w:rPr>
      </w:pPr>
    </w:p>
    <w:p w:rsidR="00EE32C5" w:rsidRDefault="00EE32C5" w:rsidP="00EE32C5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ind w:left="1276" w:hanging="425"/>
        <w:jc w:val="both"/>
      </w:pPr>
      <w:r w:rsidRPr="000E147F">
        <w:rPr>
          <w:b/>
        </w:rPr>
        <w:t xml:space="preserve">pověřuje </w:t>
      </w:r>
      <w:r w:rsidRPr="000E147F">
        <w:t>odůvodněním tohoto návrhu na schůzi Poslanecké sněmovny poslance</w:t>
      </w:r>
      <w:r>
        <w:t> </w:t>
      </w:r>
      <w:r w:rsidRPr="000E147F">
        <w:t xml:space="preserve">Jana Jakoba. </w:t>
      </w:r>
    </w:p>
    <w:p w:rsidR="00EE32C5" w:rsidRDefault="00EE32C5" w:rsidP="00EE32C5">
      <w:pPr>
        <w:jc w:val="center"/>
      </w:pPr>
    </w:p>
    <w:p w:rsidR="00195382" w:rsidRDefault="00195382" w:rsidP="00EE32C5">
      <w:pPr>
        <w:jc w:val="center"/>
      </w:pPr>
    </w:p>
    <w:p w:rsidR="00EE32C5" w:rsidRDefault="00195382" w:rsidP="00195382">
      <w:pPr>
        <w:spacing w:after="0"/>
        <w:jc w:val="center"/>
      </w:pPr>
      <w:r>
        <w:t xml:space="preserve">v z. Věra Kovářová v. r. </w:t>
      </w:r>
    </w:p>
    <w:p w:rsidR="00EE32C5" w:rsidRDefault="00EE32C5" w:rsidP="00EE32C5">
      <w:pPr>
        <w:jc w:val="center"/>
      </w:pPr>
      <w:r w:rsidRPr="00E50EA3">
        <w:t>předsedkyně Poslanecké sněmovny</w:t>
      </w:r>
    </w:p>
    <w:p w:rsidR="00195382" w:rsidRDefault="00195382" w:rsidP="00EE32C5">
      <w:pPr>
        <w:jc w:val="center"/>
      </w:pPr>
    </w:p>
    <w:p w:rsidR="00EE32C5" w:rsidRDefault="00195382" w:rsidP="00195382">
      <w:pPr>
        <w:spacing w:after="0"/>
        <w:jc w:val="center"/>
      </w:pPr>
      <w:r>
        <w:t xml:space="preserve">Josef </w:t>
      </w:r>
      <w:proofErr w:type="spellStart"/>
      <w:r>
        <w:t>Cogan</w:t>
      </w:r>
      <w:proofErr w:type="spellEnd"/>
      <w:r>
        <w:t xml:space="preserve"> v. r. </w:t>
      </w:r>
    </w:p>
    <w:p w:rsidR="00EE32C5" w:rsidRDefault="00EE32C5" w:rsidP="00673B33">
      <w:pPr>
        <w:jc w:val="center"/>
      </w:pPr>
      <w:r w:rsidRPr="00E50EA3">
        <w:t>ověřovatel organizačního výboru</w:t>
      </w:r>
      <w:r>
        <w:br w:type="page"/>
      </w:r>
    </w:p>
    <w:p w:rsidR="0047030E" w:rsidRDefault="0047030E" w:rsidP="006A5BA4">
      <w:pPr>
        <w:jc w:val="right"/>
      </w:pPr>
    </w:p>
    <w:p w:rsidR="0047030E" w:rsidRDefault="0047030E" w:rsidP="006A5BA4">
      <w:pPr>
        <w:jc w:val="right"/>
      </w:pPr>
    </w:p>
    <w:p w:rsidR="00A22B02" w:rsidRPr="00A22B02" w:rsidRDefault="00DA0DD5" w:rsidP="006A5BA4">
      <w:pPr>
        <w:jc w:val="right"/>
      </w:pPr>
      <w:r>
        <w:t>Příloha k usnesení č. 119</w:t>
      </w:r>
    </w:p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>
      <w:pPr>
        <w:jc w:val="center"/>
        <w:rPr>
          <w:b/>
          <w:sz w:val="40"/>
        </w:rPr>
      </w:pPr>
      <w:r w:rsidRPr="00A22B02">
        <w:rPr>
          <w:b/>
          <w:sz w:val="40"/>
        </w:rPr>
        <w:t>Pravidla hospodaření</w:t>
      </w:r>
    </w:p>
    <w:p w:rsidR="00A22B02" w:rsidRPr="00A22B02" w:rsidRDefault="00630A2A" w:rsidP="00A22B02">
      <w:pPr>
        <w:jc w:val="center"/>
      </w:pPr>
      <w:r>
        <w:rPr>
          <w:b/>
          <w:sz w:val="40"/>
        </w:rPr>
        <w:t>poslaneckých klubů pro rok 202</w:t>
      </w:r>
      <w:r w:rsidR="00944DFE">
        <w:rPr>
          <w:b/>
          <w:sz w:val="40"/>
        </w:rPr>
        <w:t>3</w:t>
      </w:r>
    </w:p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/>
    <w:p w:rsidR="00A22B02" w:rsidRPr="00A22B02" w:rsidRDefault="00A22B02" w:rsidP="00A22B02">
      <w:pPr>
        <w:jc w:val="center"/>
      </w:pPr>
    </w:p>
    <w:p w:rsidR="00A22B02" w:rsidRPr="00A22B02" w:rsidRDefault="00A22B02" w:rsidP="00A22B02">
      <w:pPr>
        <w:spacing w:after="0"/>
        <w:jc w:val="both"/>
      </w:pPr>
    </w:p>
    <w:p w:rsidR="00FE6D6E" w:rsidRDefault="00A22B02" w:rsidP="00FE6D6E">
      <w:pPr>
        <w:spacing w:after="0"/>
        <w:jc w:val="both"/>
      </w:pPr>
      <w:r w:rsidRPr="00A22B02">
        <w:tab/>
      </w:r>
      <w:r w:rsidR="00FE6D6E">
        <w:t xml:space="preserve">V souladu s § 78 odst. 2 zákona č. 90/1995 Sb. o jednacím řádu Poslanecké sněmovny schvaluje Poslanecká sněmovna Pravidla hospodaření poslaneckých klubů Poslanecké sněmovny (dále jen „poslanecké kluby“) pro kalendářní </w:t>
      </w:r>
      <w:r w:rsidR="00FE6D6E" w:rsidRPr="003142EB">
        <w:t xml:space="preserve">rok </w:t>
      </w:r>
      <w:r w:rsidR="00944DFE">
        <w:t>2023</w:t>
      </w:r>
      <w:r w:rsidR="00FE6D6E" w:rsidRPr="003142EB">
        <w:t>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pStyle w:val="Nadpis1"/>
        <w:numPr>
          <w:ilvl w:val="0"/>
          <w:numId w:val="18"/>
        </w:numPr>
      </w:pPr>
      <w:r>
        <w:t>I. Měsíční výše příspěvku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Pr="003C0EB3" w:rsidRDefault="00FE6D6E" w:rsidP="00FE6D6E">
      <w:pPr>
        <w:spacing w:after="0"/>
        <w:jc w:val="both"/>
      </w:pPr>
      <w:r>
        <w:tab/>
        <w:t xml:space="preserve">Výše příspěvku na úhradu nákladů poslaneckých klubů (dále jen „příspěvek“) se stanoví pevnou částkou ve výši 27 000,-- Kč, variabilní částkou ve výši 5 845,-- Kč na člena klubu vládní strany </w:t>
      </w:r>
      <w:r w:rsidRPr="003C0EB3">
        <w:rPr>
          <w:szCs w:val="24"/>
          <w:lang w:eastAsia="cs-CZ"/>
        </w:rPr>
        <w:t xml:space="preserve">a variabilní částkou </w:t>
      </w:r>
      <w:r>
        <w:rPr>
          <w:szCs w:val="24"/>
          <w:lang w:eastAsia="cs-CZ"/>
        </w:rPr>
        <w:t>ve výši 7 599</w:t>
      </w:r>
      <w:r w:rsidRPr="003C0EB3">
        <w:rPr>
          <w:szCs w:val="24"/>
          <w:lang w:eastAsia="cs-CZ"/>
        </w:rPr>
        <w:t>,-- Kč na člena klubu nevládní strany.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pStyle w:val="Nadpis1"/>
        <w:numPr>
          <w:ilvl w:val="0"/>
          <w:numId w:val="18"/>
        </w:numPr>
      </w:pPr>
      <w:r>
        <w:t>II. Podmínky poskytování příspěvku</w:t>
      </w:r>
    </w:p>
    <w:p w:rsidR="00FE6D6E" w:rsidRPr="00BC3D43" w:rsidRDefault="00FE6D6E" w:rsidP="00FE6D6E">
      <w:pPr>
        <w:spacing w:after="0"/>
        <w:rPr>
          <w:lang w:eastAsia="zh-CN" w:bidi="hi-IN"/>
        </w:rPr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1.</w:t>
      </w:r>
      <w:r>
        <w:tab/>
        <w:t>Poslaneckým klubům nárok na příspěvek vzniká dnem ustavení poslaneckého klubu v souladu s § 77 jednacího řádu Poslanecké sněmovny. (V prvním měsíci ustavení poslaneckého klubu a v měsíci ukončení činnosti klubu se jedná o alikvotní částku z měsíčního příspěvku.)</w:t>
      </w:r>
    </w:p>
    <w:p w:rsidR="00FE6D6E" w:rsidRDefault="00FE6D6E" w:rsidP="00FE6D6E">
      <w:pPr>
        <w:spacing w:after="0"/>
        <w:jc w:val="both"/>
      </w:pPr>
      <w:r>
        <w:tab/>
      </w:r>
      <w:r>
        <w:tab/>
        <w:t>Finanční prostředky jsou uvolňovány poslaneckým klubům měsíčně.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2.</w:t>
      </w:r>
      <w:r>
        <w:tab/>
        <w:t>Při změně počtu členů poslaneckého klubu se výše příspěvku mění ke dni této změny.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pStyle w:val="Nadpis1"/>
        <w:numPr>
          <w:ilvl w:val="0"/>
          <w:numId w:val="18"/>
        </w:numPr>
      </w:pPr>
      <w:r>
        <w:t>III. Zásady pro čerpání příspěvku</w:t>
      </w:r>
    </w:p>
    <w:p w:rsidR="00FE6D6E" w:rsidRPr="00BC3D43" w:rsidRDefault="00FE6D6E" w:rsidP="00FE6D6E">
      <w:pPr>
        <w:rPr>
          <w:lang w:eastAsia="zh-CN" w:bidi="hi-IN"/>
        </w:rPr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1.</w:t>
      </w:r>
      <w:r>
        <w:tab/>
        <w:t xml:space="preserve">Kancelář Poslanecké sněmovny (dále jen "Kancelář PS"), která spravuje rozpočet Poslanecké sněmovny, má ve své rozpočtové kapitole zahrnuty i veškeré příjmy a výdaje související s příspěvky k úhradě nákladů poslaneckých klubů. 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Pr="00716E5B" w:rsidRDefault="00FE6D6E" w:rsidP="00FE6D6E">
      <w:pPr>
        <w:tabs>
          <w:tab w:val="left" w:pos="1418"/>
        </w:tabs>
        <w:spacing w:after="0"/>
        <w:ind w:firstLine="708"/>
        <w:jc w:val="both"/>
      </w:pPr>
      <w:r>
        <w:t xml:space="preserve">2.         </w:t>
      </w:r>
      <w:r w:rsidRPr="00716E5B">
        <w:t xml:space="preserve">Kancelář PS zřizuje běžné účty pro jednotlivé poslanecké kluby v České národní bance, Na příkopě 864/28, 110 00 Praha – Nové Město </w:t>
      </w:r>
      <w:r w:rsidRPr="00140C64">
        <w:t xml:space="preserve">a poukazuje na ně měsíčně (do 5. dne </w:t>
      </w:r>
      <w:r>
        <w:t>v měsíci na daný kalendářní měsíc</w:t>
      </w:r>
      <w:r w:rsidRPr="00140C64">
        <w:t>)</w:t>
      </w:r>
      <w:r w:rsidRPr="00716E5B">
        <w:t xml:space="preserve"> ze svého běžného účtu částky, určené Poslaneckou sněmovnou jako příspěvky. </w:t>
      </w:r>
    </w:p>
    <w:p w:rsidR="00FE6D6E" w:rsidRDefault="00FE6D6E" w:rsidP="00FE6D6E">
      <w:pPr>
        <w:spacing w:after="0"/>
        <w:jc w:val="both"/>
      </w:pPr>
    </w:p>
    <w:p w:rsidR="00781285" w:rsidRDefault="00781285" w:rsidP="00FE6D6E">
      <w:pPr>
        <w:spacing w:after="0"/>
        <w:jc w:val="both"/>
      </w:pPr>
    </w:p>
    <w:p w:rsidR="00781285" w:rsidRDefault="00781285" w:rsidP="00781285">
      <w:pPr>
        <w:spacing w:after="0"/>
        <w:ind w:firstLine="708"/>
        <w:jc w:val="both"/>
      </w:pPr>
      <w:r>
        <w:t>3.</w:t>
      </w:r>
      <w:r>
        <w:tab/>
        <w:t>Poslanecké kluby nemají právní subjektivitu. Předseda poslaneckého klubu určí osobu odpovědnou za hospodaření poslaneckého klubu, osobu odpovědnou za vedení pokladní služby a za vedení evidence příjmů a výdajů v peněžním deníku.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ind w:firstLine="708"/>
        <w:jc w:val="center"/>
      </w:pPr>
    </w:p>
    <w:p w:rsidR="00FE6D6E" w:rsidRDefault="00FE6D6E" w:rsidP="0058644D">
      <w:pPr>
        <w:spacing w:after="0"/>
        <w:jc w:val="center"/>
      </w:pPr>
      <w:r>
        <w:lastRenderedPageBreak/>
        <w:t xml:space="preserve">- </w:t>
      </w:r>
      <w:r w:rsidR="0058644D">
        <w:t>2</w:t>
      </w:r>
      <w:r>
        <w:t xml:space="preserve"> -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4.</w:t>
      </w:r>
      <w:r>
        <w:tab/>
        <w:t>Poslanecké kluby jsou oprávněny podle § 78 odst. 1 jednacího řádu Poslanecké sněmovny používat ke své činnosti místnosti v prostorách Sněmovny včetně potřebných technických prostředků.</w:t>
      </w:r>
    </w:p>
    <w:p w:rsidR="00654A29" w:rsidRDefault="00654A29" w:rsidP="00FE6D6E">
      <w:pPr>
        <w:spacing w:after="0"/>
        <w:jc w:val="both"/>
      </w:pPr>
    </w:p>
    <w:p w:rsidR="00654A29" w:rsidRDefault="00654A29" w:rsidP="00FE6D6E">
      <w:pPr>
        <w:spacing w:after="0"/>
        <w:jc w:val="both"/>
      </w:pPr>
      <w:r>
        <w:tab/>
      </w:r>
      <w:r w:rsidRPr="009F43DD">
        <w:t>Kancelář PS neodpovídá za škodu způsobenou na majetku vneseném do prostor Sněmovny vyhrazených pro použití poslaneckými kluby</w:t>
      </w:r>
      <w:r w:rsidR="00CC4465" w:rsidRPr="009F43DD">
        <w:t>, který je ve vlastnictví člena poslaneckého klubu, nebo kterékoliv třetí osoby. Jedná se zejména o nábytek, dekorativní prvky interiéru, či technická zařízení a související příslušenství.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 xml:space="preserve">Poslanecký klub hradí z příspěvků náklady spojené s činností poslaneckého klubu, jako jsou např. výdaje za nakoupený spotřební materiál, drobné hmotné </w:t>
      </w:r>
      <w:r w:rsidRPr="003142EB">
        <w:t>předměty do výše 40 000</w:t>
      </w:r>
      <w:r>
        <w:t xml:space="preserve"> Kč/ks, výdaje za pohoštění při pracovních jednáních klubů, výdaje za činnost pracovníků poslaneckých klubů, za odborná stanoviska a posudky expertů apod.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Pokud si poslanecký klub pronajme prostory k jednání mimo Poslaneckou sněmovnu, hradí z těchto příspěvků veškeré náklady s tím spojené.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Z příspěvků je možné hradit i služební zahraniční cesty členů klubu, přičemž valutové zajištění lze uskutečnit prostřednictvím Kanceláře PS, a to na základě písemného sdělení předsedy poslaneckého klubu.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rPr>
          <w:u w:val="single"/>
        </w:rPr>
        <w:t>IV. Účetnictví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1.</w:t>
      </w:r>
      <w:r>
        <w:tab/>
        <w:t>Na poslanecké kluby se vztahují příslušné předpisy o vedení evidence příjmů a výdajů včetně doplňků uvedených v těchto pravidlech.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2.</w:t>
      </w:r>
      <w:r>
        <w:tab/>
        <w:t>Peněžní průběh hospodaření sleduje poslanecký klub v peněžním deníku pro neplátce DPH, který je k dispozici v elektronické podobě. Peněžní deník nahrazuje pokladní knihu.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3.</w:t>
      </w:r>
      <w:r>
        <w:tab/>
        <w:t>V peněžním deníku se zapisují v časovém uspořádání všechny peněžní prostředky přijaté a vydané v hotovosti nebo připsané či odepsané na běžném účtu. Kromě toho deník obsahuje údaje o přijaté záloze na provoz, o výdajích, a to v členění podle položkové skladby výdajů.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Peněžní deník musí nést označení „Kancelář Poslanecké sněmovny“ a příslušného poslaneckého klubu. Název poslaneckého klubu se uvádí na každém listu peněžního deníku.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DA0009">
      <w:pPr>
        <w:spacing w:after="0"/>
        <w:jc w:val="center"/>
      </w:pPr>
      <w:r>
        <w:lastRenderedPageBreak/>
        <w:t xml:space="preserve">- </w:t>
      </w:r>
      <w:r w:rsidR="0058644D">
        <w:t>3</w:t>
      </w:r>
      <w:r>
        <w:t xml:space="preserve"> -</w:t>
      </w:r>
    </w:p>
    <w:p w:rsidR="00FE6D6E" w:rsidRDefault="00FE6D6E" w:rsidP="00FE6D6E">
      <w:pPr>
        <w:spacing w:after="0"/>
        <w:ind w:firstLine="708"/>
        <w:jc w:val="both"/>
      </w:pPr>
      <w:r>
        <w:t>4.</w:t>
      </w:r>
      <w:r>
        <w:tab/>
        <w:t>Originál uzavřeného peněžního deníku je vyúčtováním peněžního hospodaření poslaneckého klubu.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ind w:firstLine="708"/>
        <w:jc w:val="both"/>
      </w:pPr>
      <w:r>
        <w:t>5.</w:t>
      </w:r>
      <w:r>
        <w:tab/>
        <w:t>Peněžní deník se uzavře k poslednímu dni kalendářního pololetí nebo ke dni ukončení činnosti klubu.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6.</w:t>
      </w:r>
      <w:r>
        <w:tab/>
        <w:t>Poslanecký klub předá Kanceláři PS originál peněžního deníku se všemi příslušnými doklady za kalendářní pololetí, opatřené názvem poslaneckého klubu, a to do 6 dnů po lhůtě stanovené pro uzávěrku peněžního deníku; na poslední straně peněžního deníku se uvede datum uzávěrky, podpis předsedy poslaneckého klubu a pracovníka, který vede evidenci příjmů a výdajů.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7.</w:t>
      </w:r>
      <w:r>
        <w:tab/>
        <w:t>Fotokopie peněžního deníku zůstane v poslaneckém klubu. Doklady, podle kterých bylo v peněžním deníku účtováno, se v Kanceláři PS po přezkoušení označí způsobem zamezujícím jejich zneužití a uloží se v účetním archivu Kanceláře PS.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8.</w:t>
      </w:r>
      <w:r>
        <w:tab/>
        <w:t>Jako doklad o příjmu materiálu slouží dodací listy, faktury, přepravní doklady, stvrzenky při nákupu za hotové a příjemka vyhotovená útvarem, který je pověřen hospodařením s materiálem.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9.</w:t>
      </w:r>
      <w:r>
        <w:tab/>
        <w:t>Drobné hmotné předměty (předměty s dobou užití delší než jeden rok) nakoupené nebo jinak pořízené z prostředků poslaneckého klubu (leasing) budou po pořízení dány k evidenci Kanceláři PS.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10.</w:t>
      </w:r>
      <w:r>
        <w:tab/>
        <w:t>Na konci kalendářního roku nebo při ukončení činnosti poslaneckého klubu předá poslanecký klub Kanceláři PS seznam drobných hmotných předmětů, které navrhuje vyřadit z majetkové evidence pro úplné opotřebení, s uvedením data pořízení.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/>
        <w:jc w:val="both"/>
      </w:pPr>
      <w:r>
        <w:tab/>
        <w:t>11.</w:t>
      </w:r>
      <w:r>
        <w:tab/>
        <w:t>Koncem kalendářního roku nebo při ukončení činnosti poslaneckého klubu, tj. i na konci volebního období musí být nepoužitý zbytek příspěvku určeného k úhradě nákladů poslaneckého klubu vrácen Kanceláři PS na její provozní výdajový účet, a to tak, aby Česká národní banka mohla vrácenou částku připsat na uvedený účet nejpozději 20. prosince kalendářního roku, případně následující měsíc po ukončení volebního období.</w:t>
      </w:r>
    </w:p>
    <w:p w:rsidR="00FE6D6E" w:rsidRDefault="00FE6D6E" w:rsidP="00FE6D6E">
      <w:pPr>
        <w:spacing w:after="0"/>
        <w:jc w:val="both"/>
      </w:pPr>
    </w:p>
    <w:p w:rsidR="00FE6D6E" w:rsidRDefault="00FE6D6E" w:rsidP="00FE6D6E">
      <w:pPr>
        <w:spacing w:after="0" w:line="240" w:lineRule="auto"/>
      </w:pPr>
    </w:p>
    <w:p w:rsidR="00FE6D6E" w:rsidRPr="003D1733" w:rsidRDefault="00FE6D6E" w:rsidP="00FE6D6E">
      <w:pPr>
        <w:spacing w:after="0"/>
        <w:jc w:val="center"/>
        <w:rPr>
          <w:color w:val="000000"/>
          <w:szCs w:val="24"/>
        </w:rPr>
      </w:pPr>
    </w:p>
    <w:p w:rsidR="00A22B02" w:rsidRDefault="0058644D" w:rsidP="00FE6D6E">
      <w:pPr>
        <w:spacing w:after="0"/>
        <w:jc w:val="both"/>
      </w:pPr>
      <w:r>
        <w:t xml:space="preserve">   </w:t>
      </w:r>
    </w:p>
    <w:p w:rsidR="0058644D" w:rsidRDefault="0058644D" w:rsidP="00FE6D6E">
      <w:pPr>
        <w:spacing w:after="0"/>
        <w:jc w:val="both"/>
      </w:pPr>
    </w:p>
    <w:p w:rsidR="00C86B05" w:rsidRDefault="00C86B05" w:rsidP="00FE6D6E">
      <w:pPr>
        <w:spacing w:after="0"/>
        <w:jc w:val="both"/>
      </w:pPr>
    </w:p>
    <w:p w:rsidR="0058644D" w:rsidRDefault="0058644D" w:rsidP="00FE6D6E">
      <w:pPr>
        <w:spacing w:after="0"/>
        <w:jc w:val="both"/>
      </w:pPr>
    </w:p>
    <w:p w:rsidR="0058644D" w:rsidRPr="00A22B02" w:rsidRDefault="0058644D" w:rsidP="0058644D">
      <w:pPr>
        <w:spacing w:after="0"/>
        <w:jc w:val="center"/>
      </w:pPr>
      <w:r>
        <w:t>- 4 -</w:t>
      </w:r>
    </w:p>
    <w:sectPr w:rsidR="0058644D" w:rsidRPr="00A22B02" w:rsidSect="000834D0">
      <w:footerReference w:type="default" r:id="rId8"/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0A" w:rsidRDefault="00C20F0A" w:rsidP="00F03AB9">
      <w:pPr>
        <w:spacing w:after="0" w:line="240" w:lineRule="auto"/>
      </w:pPr>
      <w:r>
        <w:separator/>
      </w:r>
    </w:p>
  </w:endnote>
  <w:endnote w:type="continuationSeparator" w:id="0">
    <w:p w:rsidR="00C20F0A" w:rsidRDefault="00C20F0A" w:rsidP="00F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FB" w:rsidRDefault="004F14FB">
    <w:pPr>
      <w:pStyle w:val="Zpat"/>
      <w:jc w:val="center"/>
    </w:pPr>
  </w:p>
  <w:p w:rsidR="00F03AB9" w:rsidRDefault="00F03AB9" w:rsidP="00F03A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0A" w:rsidRDefault="00C20F0A" w:rsidP="00F03AB9">
      <w:pPr>
        <w:spacing w:after="0" w:line="240" w:lineRule="auto"/>
      </w:pPr>
      <w:r>
        <w:separator/>
      </w:r>
    </w:p>
  </w:footnote>
  <w:footnote w:type="continuationSeparator" w:id="0">
    <w:p w:rsidR="00C20F0A" w:rsidRDefault="00C20F0A" w:rsidP="00F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46393"/>
    <w:multiLevelType w:val="hybridMultilevel"/>
    <w:tmpl w:val="8A7644B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4154F7A"/>
    <w:multiLevelType w:val="hybridMultilevel"/>
    <w:tmpl w:val="04E89D34"/>
    <w:lvl w:ilvl="0" w:tplc="620862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C1"/>
    <w:rsid w:val="0000068C"/>
    <w:rsid w:val="0002756A"/>
    <w:rsid w:val="000476E4"/>
    <w:rsid w:val="000834D0"/>
    <w:rsid w:val="00092206"/>
    <w:rsid w:val="000953B7"/>
    <w:rsid w:val="000C140B"/>
    <w:rsid w:val="000C5278"/>
    <w:rsid w:val="000E730C"/>
    <w:rsid w:val="000F21A3"/>
    <w:rsid w:val="00103C04"/>
    <w:rsid w:val="00106842"/>
    <w:rsid w:val="0011563C"/>
    <w:rsid w:val="00170F33"/>
    <w:rsid w:val="00195382"/>
    <w:rsid w:val="001A3DFA"/>
    <w:rsid w:val="001B45F3"/>
    <w:rsid w:val="001C2780"/>
    <w:rsid w:val="001F0EB4"/>
    <w:rsid w:val="00201760"/>
    <w:rsid w:val="00207DEA"/>
    <w:rsid w:val="002102DE"/>
    <w:rsid w:val="00214DE6"/>
    <w:rsid w:val="0021552A"/>
    <w:rsid w:val="00230024"/>
    <w:rsid w:val="0023162C"/>
    <w:rsid w:val="0024186E"/>
    <w:rsid w:val="00253CAD"/>
    <w:rsid w:val="00254049"/>
    <w:rsid w:val="002720DD"/>
    <w:rsid w:val="00272E1B"/>
    <w:rsid w:val="00282C64"/>
    <w:rsid w:val="00286414"/>
    <w:rsid w:val="002876F3"/>
    <w:rsid w:val="00293267"/>
    <w:rsid w:val="002A2F32"/>
    <w:rsid w:val="002B0FB6"/>
    <w:rsid w:val="002B1214"/>
    <w:rsid w:val="002B60B3"/>
    <w:rsid w:val="002C22AA"/>
    <w:rsid w:val="002C248D"/>
    <w:rsid w:val="002C6BED"/>
    <w:rsid w:val="002C7520"/>
    <w:rsid w:val="002E21BD"/>
    <w:rsid w:val="00304A52"/>
    <w:rsid w:val="00343B10"/>
    <w:rsid w:val="003467A3"/>
    <w:rsid w:val="00356011"/>
    <w:rsid w:val="003616E4"/>
    <w:rsid w:val="003729E5"/>
    <w:rsid w:val="00377253"/>
    <w:rsid w:val="00387497"/>
    <w:rsid w:val="00393A37"/>
    <w:rsid w:val="00395A28"/>
    <w:rsid w:val="003A0A08"/>
    <w:rsid w:val="003A329C"/>
    <w:rsid w:val="003D1733"/>
    <w:rsid w:val="003D2033"/>
    <w:rsid w:val="003F1AD1"/>
    <w:rsid w:val="003F2F51"/>
    <w:rsid w:val="0040244B"/>
    <w:rsid w:val="00463BFE"/>
    <w:rsid w:val="00467574"/>
    <w:rsid w:val="00467674"/>
    <w:rsid w:val="0047030E"/>
    <w:rsid w:val="004849D5"/>
    <w:rsid w:val="004A2596"/>
    <w:rsid w:val="004A75C0"/>
    <w:rsid w:val="004B1215"/>
    <w:rsid w:val="004D571D"/>
    <w:rsid w:val="004E099C"/>
    <w:rsid w:val="004F14FB"/>
    <w:rsid w:val="005227BF"/>
    <w:rsid w:val="005260C2"/>
    <w:rsid w:val="00536061"/>
    <w:rsid w:val="005437F7"/>
    <w:rsid w:val="00560ACC"/>
    <w:rsid w:val="00566A4C"/>
    <w:rsid w:val="00572996"/>
    <w:rsid w:val="00581B5C"/>
    <w:rsid w:val="0058644D"/>
    <w:rsid w:val="00592910"/>
    <w:rsid w:val="005A5EFD"/>
    <w:rsid w:val="005B5C76"/>
    <w:rsid w:val="005C2046"/>
    <w:rsid w:val="005C30D7"/>
    <w:rsid w:val="005C5266"/>
    <w:rsid w:val="005E094C"/>
    <w:rsid w:val="005F1A69"/>
    <w:rsid w:val="005F6CAE"/>
    <w:rsid w:val="0060547A"/>
    <w:rsid w:val="006054AA"/>
    <w:rsid w:val="006151A2"/>
    <w:rsid w:val="00616FE4"/>
    <w:rsid w:val="00620764"/>
    <w:rsid w:val="00630A2A"/>
    <w:rsid w:val="00640259"/>
    <w:rsid w:val="00654A29"/>
    <w:rsid w:val="00661B5B"/>
    <w:rsid w:val="00673B33"/>
    <w:rsid w:val="006A5BA4"/>
    <w:rsid w:val="006B30A7"/>
    <w:rsid w:val="006E4EF9"/>
    <w:rsid w:val="0072764F"/>
    <w:rsid w:val="00760AC5"/>
    <w:rsid w:val="007610A4"/>
    <w:rsid w:val="00781285"/>
    <w:rsid w:val="007A4872"/>
    <w:rsid w:val="007B65F6"/>
    <w:rsid w:val="007C62DA"/>
    <w:rsid w:val="007D5EE1"/>
    <w:rsid w:val="007D6867"/>
    <w:rsid w:val="007E1D0B"/>
    <w:rsid w:val="007E44C3"/>
    <w:rsid w:val="007E5795"/>
    <w:rsid w:val="007E64F8"/>
    <w:rsid w:val="00812496"/>
    <w:rsid w:val="00830BFE"/>
    <w:rsid w:val="00832431"/>
    <w:rsid w:val="008843CD"/>
    <w:rsid w:val="00893C29"/>
    <w:rsid w:val="008C7B29"/>
    <w:rsid w:val="008D25C1"/>
    <w:rsid w:val="008D6488"/>
    <w:rsid w:val="008F04B7"/>
    <w:rsid w:val="008F12A3"/>
    <w:rsid w:val="00903269"/>
    <w:rsid w:val="00920D8B"/>
    <w:rsid w:val="00944DFE"/>
    <w:rsid w:val="0094705D"/>
    <w:rsid w:val="00952C51"/>
    <w:rsid w:val="009552E2"/>
    <w:rsid w:val="00974AC8"/>
    <w:rsid w:val="00982B2D"/>
    <w:rsid w:val="009904D8"/>
    <w:rsid w:val="009B3082"/>
    <w:rsid w:val="009B41D3"/>
    <w:rsid w:val="009D61D8"/>
    <w:rsid w:val="009F3C54"/>
    <w:rsid w:val="009F43DD"/>
    <w:rsid w:val="009F45A6"/>
    <w:rsid w:val="00A071A9"/>
    <w:rsid w:val="00A22B02"/>
    <w:rsid w:val="00A41028"/>
    <w:rsid w:val="00A46CDA"/>
    <w:rsid w:val="00A544CB"/>
    <w:rsid w:val="00A62F67"/>
    <w:rsid w:val="00A91059"/>
    <w:rsid w:val="00AA0A6E"/>
    <w:rsid w:val="00AA0D27"/>
    <w:rsid w:val="00AA348F"/>
    <w:rsid w:val="00AA5921"/>
    <w:rsid w:val="00AA7E83"/>
    <w:rsid w:val="00AB4EDD"/>
    <w:rsid w:val="00B02ED2"/>
    <w:rsid w:val="00B05FAF"/>
    <w:rsid w:val="00B13892"/>
    <w:rsid w:val="00B23168"/>
    <w:rsid w:val="00B2622D"/>
    <w:rsid w:val="00B53E8D"/>
    <w:rsid w:val="00B63628"/>
    <w:rsid w:val="00B715B6"/>
    <w:rsid w:val="00B74031"/>
    <w:rsid w:val="00B82E72"/>
    <w:rsid w:val="00BA4FAF"/>
    <w:rsid w:val="00BB12D8"/>
    <w:rsid w:val="00BB34F7"/>
    <w:rsid w:val="00BB3646"/>
    <w:rsid w:val="00BC09E3"/>
    <w:rsid w:val="00BD634B"/>
    <w:rsid w:val="00BE5937"/>
    <w:rsid w:val="00C20F0A"/>
    <w:rsid w:val="00C30A55"/>
    <w:rsid w:val="00C37D77"/>
    <w:rsid w:val="00C40F29"/>
    <w:rsid w:val="00C56014"/>
    <w:rsid w:val="00C56585"/>
    <w:rsid w:val="00C86B05"/>
    <w:rsid w:val="00CC4465"/>
    <w:rsid w:val="00D31B37"/>
    <w:rsid w:val="00D347AB"/>
    <w:rsid w:val="00D54011"/>
    <w:rsid w:val="00D74C92"/>
    <w:rsid w:val="00D76FB3"/>
    <w:rsid w:val="00D800A9"/>
    <w:rsid w:val="00D835D9"/>
    <w:rsid w:val="00D90B8B"/>
    <w:rsid w:val="00DA0009"/>
    <w:rsid w:val="00DA0DD5"/>
    <w:rsid w:val="00DB4562"/>
    <w:rsid w:val="00DC29E4"/>
    <w:rsid w:val="00DC4364"/>
    <w:rsid w:val="00DF5AE3"/>
    <w:rsid w:val="00E24AA7"/>
    <w:rsid w:val="00E277AE"/>
    <w:rsid w:val="00E57293"/>
    <w:rsid w:val="00E65C08"/>
    <w:rsid w:val="00ED15A8"/>
    <w:rsid w:val="00ED1B1C"/>
    <w:rsid w:val="00EE32C5"/>
    <w:rsid w:val="00EF3B15"/>
    <w:rsid w:val="00EF679B"/>
    <w:rsid w:val="00EF78B2"/>
    <w:rsid w:val="00F03AB9"/>
    <w:rsid w:val="00F27CE5"/>
    <w:rsid w:val="00F32160"/>
    <w:rsid w:val="00F35067"/>
    <w:rsid w:val="00F40367"/>
    <w:rsid w:val="00F42CB0"/>
    <w:rsid w:val="00F46B82"/>
    <w:rsid w:val="00F94863"/>
    <w:rsid w:val="00F94EDC"/>
    <w:rsid w:val="00F9696D"/>
    <w:rsid w:val="00FC4E7E"/>
    <w:rsid w:val="00FD4860"/>
    <w:rsid w:val="00FE6D6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7D10BE7-C563-4265-9F30-302D671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E6D6E"/>
    <w:pPr>
      <w:keepNext/>
      <w:tabs>
        <w:tab w:val="num" w:pos="643"/>
      </w:tabs>
      <w:suppressAutoHyphens/>
      <w:spacing w:after="0" w:line="240" w:lineRule="auto"/>
      <w:ind w:left="643" w:hanging="360"/>
      <w:jc w:val="both"/>
      <w:outlineLvl w:val="0"/>
    </w:pPr>
    <w:rPr>
      <w:rFonts w:eastAsia="Times New Roman"/>
      <w:szCs w:val="20"/>
      <w:u w:val="single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odpisovovatel">
    <w:name w:val="podpis ověřovatel"/>
    <w:basedOn w:val="Normln"/>
    <w:next w:val="podpissvzany"/>
    <w:link w:val="podpisovovatelChar"/>
    <w:qFormat/>
    <w:rsid w:val="000C140B"/>
    <w:pPr>
      <w:keepNext/>
      <w:tabs>
        <w:tab w:val="center" w:pos="1701"/>
        <w:tab w:val="center" w:pos="4536"/>
        <w:tab w:val="center" w:pos="7371"/>
      </w:tabs>
      <w:spacing w:before="960" w:after="0" w:line="240" w:lineRule="auto"/>
      <w:jc w:val="center"/>
    </w:pPr>
  </w:style>
  <w:style w:type="paragraph" w:customStyle="1" w:styleId="podpissvzany">
    <w:name w:val="podpis svázany"/>
    <w:basedOn w:val="Normln"/>
    <w:next w:val="podpisovovatel"/>
    <w:link w:val="podpissvzanyChar"/>
    <w:qFormat/>
    <w:rsid w:val="00E24AA7"/>
    <w:pPr>
      <w:keepNext/>
      <w:tabs>
        <w:tab w:val="center" w:pos="1701"/>
        <w:tab w:val="center" w:pos="4536"/>
        <w:tab w:val="center" w:pos="7371"/>
      </w:tabs>
      <w:spacing w:after="0" w:line="240" w:lineRule="auto"/>
      <w:jc w:val="center"/>
    </w:pPr>
  </w:style>
  <w:style w:type="character" w:customStyle="1" w:styleId="podpisovovatelChar">
    <w:name w:val="podpis ověřovatel Char"/>
    <w:basedOn w:val="Standardnpsmoodstavce"/>
    <w:link w:val="podpisovovatel"/>
    <w:rsid w:val="000C140B"/>
    <w:rPr>
      <w:rFonts w:ascii="Times New Roman" w:hAnsi="Times New Roman"/>
      <w:sz w:val="24"/>
      <w:szCs w:val="22"/>
      <w:lang w:eastAsia="en-US"/>
    </w:rPr>
  </w:style>
  <w:style w:type="paragraph" w:customStyle="1" w:styleId="StylPS-uvodnodstavecTun">
    <w:name w:val="Styl PS-uvodní odstavec + Tučné"/>
    <w:basedOn w:val="PS-uvodnodstavec"/>
    <w:next w:val="Bezmezer"/>
    <w:rsid w:val="000C140B"/>
    <w:rPr>
      <w:b/>
      <w:bCs/>
    </w:rPr>
  </w:style>
  <w:style w:type="character" w:customStyle="1" w:styleId="podpissvzanyChar">
    <w:name w:val="podpis svázany Char"/>
    <w:basedOn w:val="Standardnpsmoodstavce"/>
    <w:link w:val="podpissvzany"/>
    <w:rsid w:val="00E24AA7"/>
    <w:rPr>
      <w:rFonts w:ascii="Times New Roman" w:hAnsi="Times New Roman"/>
      <w:sz w:val="24"/>
      <w:szCs w:val="22"/>
      <w:lang w:eastAsia="en-US"/>
    </w:rPr>
  </w:style>
  <w:style w:type="paragraph" w:customStyle="1" w:styleId="zaazen">
    <w:name w:val="_zařazení"/>
    <w:basedOn w:val="Normln"/>
    <w:rsid w:val="002720DD"/>
    <w:pPr>
      <w:suppressAutoHyphens/>
      <w:spacing w:after="520" w:line="240" w:lineRule="auto"/>
      <w:ind w:left="1791" w:hanging="360"/>
      <w:jc w:val="both"/>
    </w:pPr>
    <w:rPr>
      <w:rFonts w:eastAsia="Times New Roman"/>
      <w:color w:val="000000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B2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AB9"/>
    <w:rPr>
      <w:rFonts w:ascii="Times New Roman" w:hAnsi="Times New Roman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FE6D6E"/>
    <w:rPr>
      <w:rFonts w:ascii="Times New Roman" w:eastAsia="Times New Roman" w:hAnsi="Times New Roman"/>
      <w:sz w:val="24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urnam\Documents\Vlastn&#237;%20&#353;ablony%20Office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54F8-1107-476E-9C36-B848BF6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5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2023-01-12T11:43:00Z</cp:lastPrinted>
  <dcterms:created xsi:type="dcterms:W3CDTF">2023-01-12T14:22:00Z</dcterms:created>
  <dcterms:modified xsi:type="dcterms:W3CDTF">2023-01-12T14:22:00Z</dcterms:modified>
</cp:coreProperties>
</file>