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ED6C" w14:textId="77777777" w:rsidR="00DC29E4" w:rsidRPr="00595ACC" w:rsidRDefault="00DC29E4" w:rsidP="00265CCD">
      <w:pPr>
        <w:pStyle w:val="PS-hlavika1"/>
      </w:pPr>
      <w:r w:rsidRPr="00595ACC">
        <w:t>Parlament České republiky</w:t>
      </w:r>
    </w:p>
    <w:p w14:paraId="0BF335DC" w14:textId="77777777" w:rsidR="00DC29E4" w:rsidRPr="00595ACC" w:rsidRDefault="00DC29E4" w:rsidP="000E730C">
      <w:pPr>
        <w:pStyle w:val="PS-hlavika2"/>
      </w:pPr>
      <w:r w:rsidRPr="00595ACC">
        <w:t>POSLANECKÁ SNĚMOVNA</w:t>
      </w:r>
    </w:p>
    <w:p w14:paraId="0C65E270" w14:textId="191C2200"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9B608E">
        <w:t>3</w:t>
      </w:r>
    </w:p>
    <w:p w14:paraId="3BAC87ED" w14:textId="77777777"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14:paraId="64E77380" w14:textId="7D7FC3B1" w:rsidR="00DC29E4" w:rsidRPr="00595ACC" w:rsidRDefault="00EB4D3B" w:rsidP="000E730C">
      <w:pPr>
        <w:pStyle w:val="PS-slousnesen"/>
      </w:pPr>
      <w:r>
        <w:t>127</w:t>
      </w:r>
    </w:p>
    <w:p w14:paraId="1E46DEA0" w14:textId="77777777" w:rsidR="00DC29E4" w:rsidRPr="00595ACC" w:rsidRDefault="00DC29E4" w:rsidP="00903269">
      <w:pPr>
        <w:pStyle w:val="PS-hlavika3"/>
      </w:pPr>
      <w:r w:rsidRPr="00595ACC">
        <w:t>USNESENÍ</w:t>
      </w:r>
    </w:p>
    <w:p w14:paraId="1FD773E6" w14:textId="77777777"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14:paraId="2785F4E1" w14:textId="491B5F19" w:rsidR="0012436F" w:rsidRPr="00595ACC" w:rsidRDefault="00661D05" w:rsidP="0012436F">
      <w:pPr>
        <w:pStyle w:val="PS-hlavika1"/>
      </w:pPr>
      <w:r w:rsidRPr="00595ACC">
        <w:t>z</w:t>
      </w:r>
      <w:r w:rsidR="00B17701">
        <w:t> </w:t>
      </w:r>
      <w:r w:rsidR="00C3669E">
        <w:t>2</w:t>
      </w:r>
      <w:r w:rsidR="00936451">
        <w:t>7</w:t>
      </w:r>
      <w:r w:rsidR="00B17701">
        <w:t>.</w:t>
      </w:r>
      <w:r w:rsidR="0012436F" w:rsidRPr="00595ACC">
        <w:t xml:space="preserve"> schůze</w:t>
      </w:r>
    </w:p>
    <w:p w14:paraId="591029AA" w14:textId="0F3B8238" w:rsidR="0012436F" w:rsidRPr="00595ACC" w:rsidRDefault="0012436F" w:rsidP="0012436F">
      <w:pPr>
        <w:pStyle w:val="PS-hlavika1"/>
      </w:pPr>
      <w:r w:rsidRPr="00595ACC">
        <w:t xml:space="preserve">ze dne </w:t>
      </w:r>
      <w:r w:rsidR="00936451">
        <w:t>2. listopadu</w:t>
      </w:r>
      <w:r w:rsidR="009B608E">
        <w:t xml:space="preserve"> 2023</w:t>
      </w:r>
    </w:p>
    <w:p w14:paraId="5C1B3500" w14:textId="77777777"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ACD1D77" w14:textId="77777777"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49F01740" w14:textId="0B9B3BE1" w:rsidR="00284813" w:rsidRPr="00595ACC" w:rsidRDefault="00700A17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 xml:space="preserve">ke </w:t>
      </w:r>
      <w:r w:rsidR="00936451">
        <w:rPr>
          <w:lang w:eastAsia="cs-CZ"/>
        </w:rPr>
        <w:t xml:space="preserve">Kontrolnímu závěru Nejvyššího kontrolního úřadu z kontrolní akce č. 21/13 – </w:t>
      </w:r>
      <w:r w:rsidR="00936451" w:rsidRPr="00A44159">
        <w:rPr>
          <w:lang w:eastAsia="cs-CZ"/>
        </w:rPr>
        <w:t>Majetek a</w:t>
      </w:r>
      <w:r w:rsidR="00936451">
        <w:rPr>
          <w:lang w:eastAsia="cs-CZ"/>
        </w:rPr>
        <w:t> </w:t>
      </w:r>
      <w:r w:rsidR="00936451" w:rsidRPr="00A44159">
        <w:rPr>
          <w:lang w:eastAsia="cs-CZ"/>
        </w:rPr>
        <w:t xml:space="preserve">peněžní prostředky státu, s nimiž má právo hospodařit ČPP Transgas, </w:t>
      </w:r>
      <w:proofErr w:type="spellStart"/>
      <w:r w:rsidR="00936451" w:rsidRPr="00A44159">
        <w:rPr>
          <w:lang w:eastAsia="cs-CZ"/>
        </w:rPr>
        <w:t>s.p</w:t>
      </w:r>
      <w:proofErr w:type="spellEnd"/>
      <w:r w:rsidR="00936451" w:rsidRPr="00A44159">
        <w:rPr>
          <w:lang w:eastAsia="cs-CZ"/>
        </w:rPr>
        <w:t>.</w:t>
      </w:r>
      <w:r w:rsidR="00950E6B" w:rsidRPr="00595ACC">
        <w:rPr>
          <w:szCs w:val="24"/>
          <w:lang w:eastAsia="cs-CZ"/>
        </w:rPr>
        <w:t xml:space="preserve"> </w:t>
      </w:r>
      <w:r w:rsidR="00A3529C" w:rsidRPr="00595ACC">
        <w:rPr>
          <w:szCs w:val="24"/>
        </w:rPr>
        <w:t xml:space="preserve"> </w:t>
      </w:r>
    </w:p>
    <w:p w14:paraId="1AB8D4DC" w14:textId="77777777"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CAB0E6" w14:textId="3AAE93F5" w:rsidR="00715821" w:rsidRPr="00FA72B1" w:rsidRDefault="00E972E4" w:rsidP="00ED1006">
      <w:pPr>
        <w:pBdr>
          <w:top w:val="single" w:sz="4" w:space="1" w:color="auto"/>
        </w:pBd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výbor Poslanecké sněmovny Parlamentu ČR po 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úvodním výkladu </w:t>
      </w:r>
      <w:r w:rsidR="004D7CE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prezidenta Nejvyššího kontrolního úřadu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Miloslava Kaly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zpravodajské zprávě </w:t>
      </w:r>
      <w:r w:rsid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poslance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Jakuba Jandy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zástupce ředitele ČPP Transgas, </w:t>
      </w:r>
      <w:proofErr w:type="spellStart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s.p</w:t>
      </w:r>
      <w:proofErr w:type="spellEnd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Martina </w:t>
      </w:r>
      <w:proofErr w:type="spellStart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Čajdy</w:t>
      </w:r>
      <w:proofErr w:type="spellEnd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7D28F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vrchního ředitele Sekce ekonomické Ministerstva průmyslu a obchodu Petra Doškáře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F0A8F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rozpravě</w:t>
      </w:r>
    </w:p>
    <w:p w14:paraId="24A831C6" w14:textId="77777777" w:rsidR="00936451" w:rsidRDefault="00936451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09329CA7" w14:textId="77777777" w:rsidR="00E972E4" w:rsidRPr="00595ACC" w:rsidRDefault="00E972E4" w:rsidP="00E972E4">
      <w:pPr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I.</w:t>
      </w: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="0076660E" w:rsidRPr="00CF260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</w:p>
    <w:p w14:paraId="75B05E59" w14:textId="41A25036" w:rsidR="00E972E4" w:rsidRPr="00700A17" w:rsidRDefault="00936451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Kontrolní závěr Nejvyššího kontrolního úřadu z kontrolní akce č. 21/13 – Majetek 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peněžní prostředky státu, s nimiž má právo hospodařit ČPP Transgas, </w:t>
      </w:r>
      <w:proofErr w:type="spellStart"/>
      <w:r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s.p</w:t>
      </w:r>
      <w:proofErr w:type="spellEnd"/>
      <w:r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25CD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(dále </w:t>
      </w:r>
      <w:r w:rsidR="00F03C4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jen „Kontrolní závěr č.</w:t>
      </w:r>
      <w:r w:rsidR="006943B0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07F48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13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“),</w:t>
      </w:r>
    </w:p>
    <w:p w14:paraId="0A207891" w14:textId="2A6D728E" w:rsidR="00E972E4" w:rsidRPr="00595ACC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</w:t>
      </w:r>
      <w:r w:rsid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průmyslu a obchodu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050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ke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Kontrolnímu závěru č. 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13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obsažené v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části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531F1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vlády č. j.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758</w:t>
      </w:r>
      <w:r w:rsidR="00AE7693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2BC2545F" w14:textId="33304FA9" w:rsidR="00936451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vlády č.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41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72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 dne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14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202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2,</w:t>
      </w:r>
    </w:p>
    <w:p w14:paraId="0F4EE20E" w14:textId="6D8FFEBA" w:rsidR="00C3669E" w:rsidRPr="00936451" w:rsidRDefault="00936451" w:rsidP="00936451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Informaci Ministerstva průmyslu a obchodu o plnění přijatých opatření ke Kontrolnímu závěru č. 21/13, obsaženou v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části II materiálu vlády č. j. 201/23</w:t>
      </w:r>
      <w:r w:rsidR="00B62442"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471E4038" w14:textId="77777777" w:rsidR="00936451" w:rsidRDefault="00936451" w:rsidP="00FA72B1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393E58D1" w14:textId="3D2E40B2" w:rsidR="00B14F4E" w:rsidRPr="00006729" w:rsidRDefault="00936451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364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II.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ab/>
      </w:r>
      <w:r w:rsidR="00DF0808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žádá</w:t>
      </w:r>
      <w:r w:rsidR="00B14F4E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 xml:space="preserve"> </w:t>
      </w:r>
      <w:r w:rsidR="00B14F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ministr</w:t>
      </w:r>
      <w:r w:rsidR="00DF08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B14F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průmyslu a obchodu, </w:t>
      </w:r>
      <w:r w:rsidR="00006729" w:rsidRPr="0000672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aby zvážil možnost využití ČPP Transgas, </w:t>
      </w:r>
      <w:proofErr w:type="spellStart"/>
      <w:r w:rsidR="00006729" w:rsidRPr="0000672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s.p</w:t>
      </w:r>
      <w:proofErr w:type="spellEnd"/>
      <w:r w:rsidR="00006729" w:rsidRPr="0000672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při zajišťování strategických zájmů státu</w:t>
      </w:r>
      <w:r w:rsidR="00DF08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o závěrech informoval Kontrolní výbor Poslanecké sněmovny Parlamentu ČR nejdéle do 30. 6. 2024</w:t>
      </w:r>
      <w:r w:rsidR="00B14F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6FB38712" w14:textId="77777777" w:rsidR="00B14F4E" w:rsidRDefault="00B14F4E" w:rsidP="00EB4D3B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</w:pPr>
    </w:p>
    <w:p w14:paraId="3731697D" w14:textId="41A9FD78" w:rsidR="006A5CB8" w:rsidRDefault="00B14F4E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14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</w:t>
      </w:r>
      <w:r w:rsidR="00CE27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</w:t>
      </w:r>
      <w:r w:rsidRPr="00B14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ab/>
      </w:r>
      <w:r w:rsidR="00E972E4" w:rsidRPr="00BB240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zmocňuje</w:t>
      </w:r>
      <w:r w:rsidR="00E972E4"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výboru, aby s tímto usnesením seznámil 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prezidenta Nejvyššího kontrolního úřad</w:t>
      </w:r>
      <w:r w:rsidR="00AE2C7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ministra průmyslu a obchodu a zástupce ředitele ČPP Transgas, </w:t>
      </w:r>
      <w:proofErr w:type="spellStart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s.p</w:t>
      </w:r>
      <w:proofErr w:type="spellEnd"/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316DB4FE" w14:textId="58C54A4A" w:rsidR="00EB4D3B" w:rsidRDefault="00EB4D3B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BFE6CE" w14:textId="697D60AF" w:rsidR="00EB4D3B" w:rsidRDefault="00EB4D3B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F31728" w14:textId="44F8CA62" w:rsidR="00EB4D3B" w:rsidRDefault="00EB4D3B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943AF3" w14:textId="13A63D65" w:rsidR="00EB4D3B" w:rsidRDefault="00EB4D3B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8DF93F" w14:textId="77777777" w:rsidR="00EB4D3B" w:rsidRDefault="00EB4D3B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EB4D3B" w14:paraId="527DF133" w14:textId="77777777" w:rsidTr="008370FE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BD78E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Roman KUBÍČEK v. 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93D9F" w14:textId="345A5F55" w:rsidR="00EB4D3B" w:rsidRDefault="00265229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Jakub JANDA</w:t>
            </w:r>
            <w:r w:rsidR="00EB4D3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 r.</w:t>
            </w:r>
          </w:p>
        </w:tc>
      </w:tr>
      <w:tr w:rsidR="00EB4D3B" w14:paraId="0F31301A" w14:textId="77777777" w:rsidTr="008370FE">
        <w:trPr>
          <w:cantSplit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15DB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místopředseda – ověřovatel</w:t>
            </w:r>
          </w:p>
          <w:p w14:paraId="0CA254B8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8C85F" w14:textId="018D9B08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zpravodaj</w:t>
            </w:r>
          </w:p>
          <w:p w14:paraId="624BC0D2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6D0F19ED" w14:textId="77777777" w:rsidR="00EB4D3B" w:rsidRDefault="00EB4D3B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CBCAF6E" w14:textId="67E5D129" w:rsidR="00EB4D3B" w:rsidRDefault="00EB4D3B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69602CF" w14:textId="77777777" w:rsidR="00B61AC1" w:rsidRDefault="00B61AC1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id="0" w:name="_GoBack"/>
      <w:bookmarkEnd w:id="0"/>
    </w:p>
    <w:p w14:paraId="0DA2C630" w14:textId="77777777" w:rsidR="00EB4D3B" w:rsidRDefault="00EB4D3B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4"/>
      </w:tblGrid>
      <w:tr w:rsidR="00EB4D3B" w14:paraId="7F7C9557" w14:textId="77777777" w:rsidTr="008370FE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9CDE5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Radovan VÍCH v. r.</w:t>
            </w:r>
          </w:p>
        </w:tc>
      </w:tr>
      <w:tr w:rsidR="00EB4D3B" w14:paraId="3FF307C1" w14:textId="77777777" w:rsidTr="008370FE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A31EC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předseda </w:t>
            </w:r>
          </w:p>
          <w:p w14:paraId="0FDA2CBD" w14:textId="77777777" w:rsidR="00EB4D3B" w:rsidRDefault="00EB4D3B" w:rsidP="008370F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4CC16FD3" w14:textId="77777777" w:rsidR="00EB4D3B" w:rsidRDefault="00EB4D3B" w:rsidP="00EB4D3B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EB4D3B" w:rsidSect="00B61AC1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F4"/>
    <w:rsid w:val="00006729"/>
    <w:rsid w:val="00007CE1"/>
    <w:rsid w:val="00013121"/>
    <w:rsid w:val="000143A5"/>
    <w:rsid w:val="00045CE7"/>
    <w:rsid w:val="00045E3D"/>
    <w:rsid w:val="000466BC"/>
    <w:rsid w:val="000476E4"/>
    <w:rsid w:val="00052C56"/>
    <w:rsid w:val="00067B6F"/>
    <w:rsid w:val="00072C7B"/>
    <w:rsid w:val="00074059"/>
    <w:rsid w:val="000777D5"/>
    <w:rsid w:val="000828E8"/>
    <w:rsid w:val="00084FA6"/>
    <w:rsid w:val="000970AD"/>
    <w:rsid w:val="000B1E6B"/>
    <w:rsid w:val="000B380B"/>
    <w:rsid w:val="000C369D"/>
    <w:rsid w:val="000C5278"/>
    <w:rsid w:val="000E2E60"/>
    <w:rsid w:val="000E3EB4"/>
    <w:rsid w:val="000E730C"/>
    <w:rsid w:val="0010212E"/>
    <w:rsid w:val="00103C04"/>
    <w:rsid w:val="00103DC5"/>
    <w:rsid w:val="0010404E"/>
    <w:rsid w:val="001051F4"/>
    <w:rsid w:val="00106842"/>
    <w:rsid w:val="00115792"/>
    <w:rsid w:val="0012436F"/>
    <w:rsid w:val="001367E9"/>
    <w:rsid w:val="00142990"/>
    <w:rsid w:val="00147C40"/>
    <w:rsid w:val="001512B7"/>
    <w:rsid w:val="001630AA"/>
    <w:rsid w:val="0016538C"/>
    <w:rsid w:val="00167CD0"/>
    <w:rsid w:val="00173E2A"/>
    <w:rsid w:val="00186CEC"/>
    <w:rsid w:val="00190A79"/>
    <w:rsid w:val="00191A91"/>
    <w:rsid w:val="00192F93"/>
    <w:rsid w:val="00193A6B"/>
    <w:rsid w:val="00193DB2"/>
    <w:rsid w:val="00197C6B"/>
    <w:rsid w:val="001A065D"/>
    <w:rsid w:val="001A11D8"/>
    <w:rsid w:val="001B45F3"/>
    <w:rsid w:val="001C25DB"/>
    <w:rsid w:val="001C7D3D"/>
    <w:rsid w:val="001D0461"/>
    <w:rsid w:val="001D2F79"/>
    <w:rsid w:val="001D4140"/>
    <w:rsid w:val="001E1D4D"/>
    <w:rsid w:val="001E652B"/>
    <w:rsid w:val="001F199C"/>
    <w:rsid w:val="001F4518"/>
    <w:rsid w:val="00206BA7"/>
    <w:rsid w:val="0020711B"/>
    <w:rsid w:val="0020748B"/>
    <w:rsid w:val="00230024"/>
    <w:rsid w:val="0024565D"/>
    <w:rsid w:val="00254049"/>
    <w:rsid w:val="00265229"/>
    <w:rsid w:val="00265CCD"/>
    <w:rsid w:val="00272E1B"/>
    <w:rsid w:val="002750C5"/>
    <w:rsid w:val="00280536"/>
    <w:rsid w:val="00282849"/>
    <w:rsid w:val="00284813"/>
    <w:rsid w:val="00292B8F"/>
    <w:rsid w:val="00296B20"/>
    <w:rsid w:val="002A2F32"/>
    <w:rsid w:val="002B0FB6"/>
    <w:rsid w:val="002B60B3"/>
    <w:rsid w:val="002C5547"/>
    <w:rsid w:val="002C6BED"/>
    <w:rsid w:val="002F12B3"/>
    <w:rsid w:val="00302CD6"/>
    <w:rsid w:val="00304A59"/>
    <w:rsid w:val="0030723A"/>
    <w:rsid w:val="003211A3"/>
    <w:rsid w:val="00323CF1"/>
    <w:rsid w:val="00326745"/>
    <w:rsid w:val="00342061"/>
    <w:rsid w:val="0034304A"/>
    <w:rsid w:val="00350856"/>
    <w:rsid w:val="00355D02"/>
    <w:rsid w:val="00356011"/>
    <w:rsid w:val="003646B7"/>
    <w:rsid w:val="00365A07"/>
    <w:rsid w:val="0037303B"/>
    <w:rsid w:val="00376602"/>
    <w:rsid w:val="00377253"/>
    <w:rsid w:val="0038044B"/>
    <w:rsid w:val="003817CB"/>
    <w:rsid w:val="00383DBE"/>
    <w:rsid w:val="0039417B"/>
    <w:rsid w:val="003A27E7"/>
    <w:rsid w:val="003A3065"/>
    <w:rsid w:val="003A6191"/>
    <w:rsid w:val="003B1EBB"/>
    <w:rsid w:val="003B65A7"/>
    <w:rsid w:val="003C4B25"/>
    <w:rsid w:val="003C52CD"/>
    <w:rsid w:val="003D2033"/>
    <w:rsid w:val="003D5424"/>
    <w:rsid w:val="003D5633"/>
    <w:rsid w:val="003D6656"/>
    <w:rsid w:val="003F1E24"/>
    <w:rsid w:val="003F3A68"/>
    <w:rsid w:val="003F54EC"/>
    <w:rsid w:val="003F7D86"/>
    <w:rsid w:val="004015B1"/>
    <w:rsid w:val="004050BF"/>
    <w:rsid w:val="00407850"/>
    <w:rsid w:val="00407A21"/>
    <w:rsid w:val="00410062"/>
    <w:rsid w:val="00412425"/>
    <w:rsid w:val="0042117A"/>
    <w:rsid w:val="00421FA5"/>
    <w:rsid w:val="0043331D"/>
    <w:rsid w:val="004344D9"/>
    <w:rsid w:val="0044655F"/>
    <w:rsid w:val="00447182"/>
    <w:rsid w:val="0045353B"/>
    <w:rsid w:val="00463CE0"/>
    <w:rsid w:val="00467A38"/>
    <w:rsid w:val="00471A27"/>
    <w:rsid w:val="0047628B"/>
    <w:rsid w:val="00484011"/>
    <w:rsid w:val="00485FBE"/>
    <w:rsid w:val="00495695"/>
    <w:rsid w:val="00496B22"/>
    <w:rsid w:val="004A1821"/>
    <w:rsid w:val="004B49FF"/>
    <w:rsid w:val="004B4BAA"/>
    <w:rsid w:val="004C0CF4"/>
    <w:rsid w:val="004C35DE"/>
    <w:rsid w:val="004D1097"/>
    <w:rsid w:val="004D59AF"/>
    <w:rsid w:val="004D61F8"/>
    <w:rsid w:val="004D7CE7"/>
    <w:rsid w:val="004E4749"/>
    <w:rsid w:val="004E4B7D"/>
    <w:rsid w:val="004E60F0"/>
    <w:rsid w:val="005012C1"/>
    <w:rsid w:val="00503AD4"/>
    <w:rsid w:val="00503F63"/>
    <w:rsid w:val="00512538"/>
    <w:rsid w:val="00512C2D"/>
    <w:rsid w:val="00515A78"/>
    <w:rsid w:val="005179EE"/>
    <w:rsid w:val="0052154E"/>
    <w:rsid w:val="005227BF"/>
    <w:rsid w:val="00522E11"/>
    <w:rsid w:val="00531F10"/>
    <w:rsid w:val="00535DFA"/>
    <w:rsid w:val="0054650D"/>
    <w:rsid w:val="005556BF"/>
    <w:rsid w:val="005607BB"/>
    <w:rsid w:val="00565C40"/>
    <w:rsid w:val="00566A4C"/>
    <w:rsid w:val="005855A6"/>
    <w:rsid w:val="00595ACC"/>
    <w:rsid w:val="005A125E"/>
    <w:rsid w:val="005A7245"/>
    <w:rsid w:val="005B3451"/>
    <w:rsid w:val="005C30D7"/>
    <w:rsid w:val="005C6AB1"/>
    <w:rsid w:val="005C71F8"/>
    <w:rsid w:val="005C7691"/>
    <w:rsid w:val="005D36DC"/>
    <w:rsid w:val="005E094C"/>
    <w:rsid w:val="005E395F"/>
    <w:rsid w:val="005E4081"/>
    <w:rsid w:val="005F6CAE"/>
    <w:rsid w:val="00603D65"/>
    <w:rsid w:val="00603ED3"/>
    <w:rsid w:val="00606EAC"/>
    <w:rsid w:val="006101ED"/>
    <w:rsid w:val="006138FD"/>
    <w:rsid w:val="00614ED0"/>
    <w:rsid w:val="00620764"/>
    <w:rsid w:val="00637489"/>
    <w:rsid w:val="00644849"/>
    <w:rsid w:val="00645927"/>
    <w:rsid w:val="00646E8F"/>
    <w:rsid w:val="00647667"/>
    <w:rsid w:val="00656C45"/>
    <w:rsid w:val="00661D05"/>
    <w:rsid w:val="00673C53"/>
    <w:rsid w:val="006850AA"/>
    <w:rsid w:val="006869AA"/>
    <w:rsid w:val="006915AC"/>
    <w:rsid w:val="00694196"/>
    <w:rsid w:val="006943B0"/>
    <w:rsid w:val="00694D7E"/>
    <w:rsid w:val="006A5CB8"/>
    <w:rsid w:val="006C5B6F"/>
    <w:rsid w:val="006D427E"/>
    <w:rsid w:val="006D4B54"/>
    <w:rsid w:val="006D73CB"/>
    <w:rsid w:val="006E0383"/>
    <w:rsid w:val="006F1AD6"/>
    <w:rsid w:val="006F3147"/>
    <w:rsid w:val="006F5928"/>
    <w:rsid w:val="00700A17"/>
    <w:rsid w:val="0070749C"/>
    <w:rsid w:val="00715821"/>
    <w:rsid w:val="00724D30"/>
    <w:rsid w:val="00725CDA"/>
    <w:rsid w:val="007317D5"/>
    <w:rsid w:val="007329C8"/>
    <w:rsid w:val="00734BAD"/>
    <w:rsid w:val="0074503C"/>
    <w:rsid w:val="0075131D"/>
    <w:rsid w:val="0076247D"/>
    <w:rsid w:val="007638CB"/>
    <w:rsid w:val="0076660E"/>
    <w:rsid w:val="007679F4"/>
    <w:rsid w:val="007767BB"/>
    <w:rsid w:val="00777394"/>
    <w:rsid w:val="00785E70"/>
    <w:rsid w:val="007975B5"/>
    <w:rsid w:val="00797A21"/>
    <w:rsid w:val="007A3C67"/>
    <w:rsid w:val="007A71FC"/>
    <w:rsid w:val="007C62A8"/>
    <w:rsid w:val="007C62DA"/>
    <w:rsid w:val="007C658A"/>
    <w:rsid w:val="007C7A84"/>
    <w:rsid w:val="007D28F3"/>
    <w:rsid w:val="007D5EE1"/>
    <w:rsid w:val="007D7120"/>
    <w:rsid w:val="007E1D0B"/>
    <w:rsid w:val="007E4CC2"/>
    <w:rsid w:val="007F0A40"/>
    <w:rsid w:val="008033F7"/>
    <w:rsid w:val="00807EE4"/>
    <w:rsid w:val="0081100E"/>
    <w:rsid w:val="00812496"/>
    <w:rsid w:val="00827B26"/>
    <w:rsid w:val="00830075"/>
    <w:rsid w:val="00830BFE"/>
    <w:rsid w:val="0083515D"/>
    <w:rsid w:val="00837F6C"/>
    <w:rsid w:val="00840294"/>
    <w:rsid w:val="00847E61"/>
    <w:rsid w:val="0085134C"/>
    <w:rsid w:val="00856FC3"/>
    <w:rsid w:val="00860D7D"/>
    <w:rsid w:val="008835D0"/>
    <w:rsid w:val="00884C3D"/>
    <w:rsid w:val="00884CD7"/>
    <w:rsid w:val="00893C29"/>
    <w:rsid w:val="00895055"/>
    <w:rsid w:val="008A0376"/>
    <w:rsid w:val="008B2B01"/>
    <w:rsid w:val="008D411E"/>
    <w:rsid w:val="008E65AA"/>
    <w:rsid w:val="008E6BA3"/>
    <w:rsid w:val="008E74B0"/>
    <w:rsid w:val="00903269"/>
    <w:rsid w:val="00903D96"/>
    <w:rsid w:val="00906552"/>
    <w:rsid w:val="00907F48"/>
    <w:rsid w:val="00911102"/>
    <w:rsid w:val="009239EA"/>
    <w:rsid w:val="00932178"/>
    <w:rsid w:val="00932451"/>
    <w:rsid w:val="00936451"/>
    <w:rsid w:val="00936696"/>
    <w:rsid w:val="00937CE6"/>
    <w:rsid w:val="009404EF"/>
    <w:rsid w:val="009420D2"/>
    <w:rsid w:val="00950E6B"/>
    <w:rsid w:val="0095120E"/>
    <w:rsid w:val="00953BF9"/>
    <w:rsid w:val="0095572A"/>
    <w:rsid w:val="00964CA4"/>
    <w:rsid w:val="009704BE"/>
    <w:rsid w:val="009711DE"/>
    <w:rsid w:val="00972845"/>
    <w:rsid w:val="0098531F"/>
    <w:rsid w:val="0098578A"/>
    <w:rsid w:val="00994162"/>
    <w:rsid w:val="009950F3"/>
    <w:rsid w:val="009964C2"/>
    <w:rsid w:val="009B3DC1"/>
    <w:rsid w:val="009B608E"/>
    <w:rsid w:val="009C3B63"/>
    <w:rsid w:val="009E3CF1"/>
    <w:rsid w:val="00A02F07"/>
    <w:rsid w:val="00A0487B"/>
    <w:rsid w:val="00A04A25"/>
    <w:rsid w:val="00A05958"/>
    <w:rsid w:val="00A158EC"/>
    <w:rsid w:val="00A160F0"/>
    <w:rsid w:val="00A209F3"/>
    <w:rsid w:val="00A25593"/>
    <w:rsid w:val="00A2751F"/>
    <w:rsid w:val="00A3255D"/>
    <w:rsid w:val="00A347CB"/>
    <w:rsid w:val="00A3529C"/>
    <w:rsid w:val="00A4628B"/>
    <w:rsid w:val="00A46CDA"/>
    <w:rsid w:val="00A47900"/>
    <w:rsid w:val="00A67FEB"/>
    <w:rsid w:val="00A728DE"/>
    <w:rsid w:val="00A770E9"/>
    <w:rsid w:val="00AA0D27"/>
    <w:rsid w:val="00AA7A50"/>
    <w:rsid w:val="00AC049E"/>
    <w:rsid w:val="00AC4629"/>
    <w:rsid w:val="00AD4726"/>
    <w:rsid w:val="00AD6664"/>
    <w:rsid w:val="00AE2C74"/>
    <w:rsid w:val="00AE7693"/>
    <w:rsid w:val="00AF297C"/>
    <w:rsid w:val="00B12194"/>
    <w:rsid w:val="00B12979"/>
    <w:rsid w:val="00B13892"/>
    <w:rsid w:val="00B14F4E"/>
    <w:rsid w:val="00B15C99"/>
    <w:rsid w:val="00B17701"/>
    <w:rsid w:val="00B21A80"/>
    <w:rsid w:val="00B229EB"/>
    <w:rsid w:val="00B22FAA"/>
    <w:rsid w:val="00B268EB"/>
    <w:rsid w:val="00B3477E"/>
    <w:rsid w:val="00B359A1"/>
    <w:rsid w:val="00B52CEB"/>
    <w:rsid w:val="00B53E8D"/>
    <w:rsid w:val="00B54F8C"/>
    <w:rsid w:val="00B61AC1"/>
    <w:rsid w:val="00B61ED3"/>
    <w:rsid w:val="00B62442"/>
    <w:rsid w:val="00B633D0"/>
    <w:rsid w:val="00B646CB"/>
    <w:rsid w:val="00B663F9"/>
    <w:rsid w:val="00B67FCF"/>
    <w:rsid w:val="00B70563"/>
    <w:rsid w:val="00B715B6"/>
    <w:rsid w:val="00B746DD"/>
    <w:rsid w:val="00B81054"/>
    <w:rsid w:val="00B843F5"/>
    <w:rsid w:val="00B900A6"/>
    <w:rsid w:val="00B9640B"/>
    <w:rsid w:val="00BB2402"/>
    <w:rsid w:val="00BB30AD"/>
    <w:rsid w:val="00BB5E40"/>
    <w:rsid w:val="00BB63E2"/>
    <w:rsid w:val="00BC4C9F"/>
    <w:rsid w:val="00BC5854"/>
    <w:rsid w:val="00BD2AD9"/>
    <w:rsid w:val="00BD3BB6"/>
    <w:rsid w:val="00BE75B8"/>
    <w:rsid w:val="00BF6B47"/>
    <w:rsid w:val="00C0586B"/>
    <w:rsid w:val="00C205FB"/>
    <w:rsid w:val="00C2178C"/>
    <w:rsid w:val="00C3669E"/>
    <w:rsid w:val="00C367AB"/>
    <w:rsid w:val="00C433D7"/>
    <w:rsid w:val="00C54A1B"/>
    <w:rsid w:val="00C56014"/>
    <w:rsid w:val="00C76122"/>
    <w:rsid w:val="00C810B9"/>
    <w:rsid w:val="00C823F3"/>
    <w:rsid w:val="00C82709"/>
    <w:rsid w:val="00C845EE"/>
    <w:rsid w:val="00C92714"/>
    <w:rsid w:val="00C97B9B"/>
    <w:rsid w:val="00CA1608"/>
    <w:rsid w:val="00CA2498"/>
    <w:rsid w:val="00CB0A42"/>
    <w:rsid w:val="00CB2B3F"/>
    <w:rsid w:val="00CC40FF"/>
    <w:rsid w:val="00CC51EC"/>
    <w:rsid w:val="00CC5A1B"/>
    <w:rsid w:val="00CC6544"/>
    <w:rsid w:val="00CC694F"/>
    <w:rsid w:val="00CC7DBA"/>
    <w:rsid w:val="00CD486F"/>
    <w:rsid w:val="00CD7882"/>
    <w:rsid w:val="00CE0689"/>
    <w:rsid w:val="00CE271F"/>
    <w:rsid w:val="00CE5403"/>
    <w:rsid w:val="00CE7710"/>
    <w:rsid w:val="00CF143E"/>
    <w:rsid w:val="00D41D71"/>
    <w:rsid w:val="00D41E9B"/>
    <w:rsid w:val="00D423FB"/>
    <w:rsid w:val="00D47D3C"/>
    <w:rsid w:val="00D64A99"/>
    <w:rsid w:val="00D65E59"/>
    <w:rsid w:val="00D66ED0"/>
    <w:rsid w:val="00D7166A"/>
    <w:rsid w:val="00D72AA2"/>
    <w:rsid w:val="00D76FB3"/>
    <w:rsid w:val="00D819DB"/>
    <w:rsid w:val="00D91CC2"/>
    <w:rsid w:val="00D92E77"/>
    <w:rsid w:val="00DA13BF"/>
    <w:rsid w:val="00DA1E95"/>
    <w:rsid w:val="00DB6F85"/>
    <w:rsid w:val="00DC29E4"/>
    <w:rsid w:val="00DC58D4"/>
    <w:rsid w:val="00DC6EFA"/>
    <w:rsid w:val="00DD0C3F"/>
    <w:rsid w:val="00DE30DC"/>
    <w:rsid w:val="00DE3D65"/>
    <w:rsid w:val="00DE3FE2"/>
    <w:rsid w:val="00DF0808"/>
    <w:rsid w:val="00E010DE"/>
    <w:rsid w:val="00E05C9E"/>
    <w:rsid w:val="00E25FA8"/>
    <w:rsid w:val="00E26C10"/>
    <w:rsid w:val="00E30FD4"/>
    <w:rsid w:val="00E332EB"/>
    <w:rsid w:val="00E41AF2"/>
    <w:rsid w:val="00E42D20"/>
    <w:rsid w:val="00E467C4"/>
    <w:rsid w:val="00E51C8A"/>
    <w:rsid w:val="00E5353A"/>
    <w:rsid w:val="00E62BDC"/>
    <w:rsid w:val="00E63140"/>
    <w:rsid w:val="00E726FB"/>
    <w:rsid w:val="00E972E4"/>
    <w:rsid w:val="00EA7118"/>
    <w:rsid w:val="00EB4D3B"/>
    <w:rsid w:val="00EB644B"/>
    <w:rsid w:val="00EC2249"/>
    <w:rsid w:val="00EC4E3D"/>
    <w:rsid w:val="00ED1006"/>
    <w:rsid w:val="00ED15A8"/>
    <w:rsid w:val="00ED2C41"/>
    <w:rsid w:val="00ED6CD8"/>
    <w:rsid w:val="00EE297E"/>
    <w:rsid w:val="00EE2EC1"/>
    <w:rsid w:val="00EE6B69"/>
    <w:rsid w:val="00EE7A5E"/>
    <w:rsid w:val="00EF0A8F"/>
    <w:rsid w:val="00EF1F98"/>
    <w:rsid w:val="00EF23A1"/>
    <w:rsid w:val="00EF39FC"/>
    <w:rsid w:val="00EF3B15"/>
    <w:rsid w:val="00EF5098"/>
    <w:rsid w:val="00EF679B"/>
    <w:rsid w:val="00F01972"/>
    <w:rsid w:val="00F03C4A"/>
    <w:rsid w:val="00F05733"/>
    <w:rsid w:val="00F110E1"/>
    <w:rsid w:val="00F203FA"/>
    <w:rsid w:val="00F32FFA"/>
    <w:rsid w:val="00F43859"/>
    <w:rsid w:val="00F463D5"/>
    <w:rsid w:val="00F51024"/>
    <w:rsid w:val="00F53B0B"/>
    <w:rsid w:val="00F635C1"/>
    <w:rsid w:val="00F87605"/>
    <w:rsid w:val="00F91F92"/>
    <w:rsid w:val="00FA72B1"/>
    <w:rsid w:val="00FB3582"/>
    <w:rsid w:val="00FB7FFA"/>
    <w:rsid w:val="00FC28F1"/>
    <w:rsid w:val="00FD246D"/>
    <w:rsid w:val="00FD3EBB"/>
    <w:rsid w:val="00FD4E3B"/>
    <w:rsid w:val="00FE134C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BE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0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A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77C4-658D-4FA7-83CC-5B018719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43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Kateřina Dvořáková</cp:lastModifiedBy>
  <cp:revision>17</cp:revision>
  <cp:lastPrinted>2023-11-02T09:27:00Z</cp:lastPrinted>
  <dcterms:created xsi:type="dcterms:W3CDTF">2023-10-26T05:56:00Z</dcterms:created>
  <dcterms:modified xsi:type="dcterms:W3CDTF">2023-11-02T09:41:00Z</dcterms:modified>
</cp:coreProperties>
</file>