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ED6C" w14:textId="77777777" w:rsidR="00DC29E4" w:rsidRPr="00595ACC" w:rsidRDefault="00DC29E4" w:rsidP="00265CCD">
      <w:pPr>
        <w:pStyle w:val="PS-hlavika1"/>
      </w:pPr>
      <w:r w:rsidRPr="00595ACC">
        <w:t>Parlament České republiky</w:t>
      </w:r>
    </w:p>
    <w:p w14:paraId="0BF335DC" w14:textId="77777777" w:rsidR="00DC29E4" w:rsidRPr="00595ACC" w:rsidRDefault="00DC29E4" w:rsidP="000E730C">
      <w:pPr>
        <w:pStyle w:val="PS-hlavika2"/>
      </w:pPr>
      <w:r w:rsidRPr="00595ACC">
        <w:t>POSLANECKÁ SNĚMOVNA</w:t>
      </w:r>
    </w:p>
    <w:p w14:paraId="0C65E270" w14:textId="191C2200" w:rsidR="00DC29E4" w:rsidRPr="00595ACC" w:rsidRDefault="002750C5" w:rsidP="000E730C">
      <w:pPr>
        <w:pStyle w:val="PS-hlavika2"/>
      </w:pPr>
      <w:r w:rsidRPr="00595ACC">
        <w:t>20</w:t>
      </w:r>
      <w:r w:rsidR="009C3B63" w:rsidRPr="00595ACC">
        <w:t>2</w:t>
      </w:r>
      <w:r w:rsidR="009B608E">
        <w:t>3</w:t>
      </w:r>
    </w:p>
    <w:p w14:paraId="3BAC87ED" w14:textId="77777777" w:rsidR="00DC29E4" w:rsidRPr="00595ACC" w:rsidRDefault="004C0CF4" w:rsidP="00377253">
      <w:pPr>
        <w:pStyle w:val="PS-hlavika1"/>
      </w:pPr>
      <w:r w:rsidRPr="00595ACC">
        <w:t>9</w:t>
      </w:r>
      <w:r w:rsidR="00DC29E4" w:rsidRPr="00595ACC">
        <w:t>. volební období</w:t>
      </w:r>
    </w:p>
    <w:p w14:paraId="64E77380" w14:textId="4A3F6F9E" w:rsidR="00DC29E4" w:rsidRPr="00595ACC" w:rsidRDefault="00791206" w:rsidP="000E730C">
      <w:pPr>
        <w:pStyle w:val="PS-slousnesen"/>
      </w:pPr>
      <w:r>
        <w:t>133</w:t>
      </w:r>
    </w:p>
    <w:p w14:paraId="1E46DEA0" w14:textId="77777777" w:rsidR="00DC29E4" w:rsidRPr="00595ACC" w:rsidRDefault="00DC29E4" w:rsidP="00903269">
      <w:pPr>
        <w:pStyle w:val="PS-hlavika3"/>
      </w:pPr>
      <w:r w:rsidRPr="00595ACC">
        <w:t>USNESENÍ</w:t>
      </w:r>
    </w:p>
    <w:p w14:paraId="1FD773E6" w14:textId="77777777" w:rsidR="00DC29E4" w:rsidRPr="00595ACC" w:rsidRDefault="00BB30AD" w:rsidP="00377253">
      <w:pPr>
        <w:pStyle w:val="PS-hlavika1"/>
      </w:pPr>
      <w:r w:rsidRPr="00595ACC">
        <w:t>K</w:t>
      </w:r>
      <w:r w:rsidR="001051F4" w:rsidRPr="00595ACC">
        <w:t>ontrolního výboru</w:t>
      </w:r>
    </w:p>
    <w:p w14:paraId="2785F4E1" w14:textId="0EC0B652" w:rsidR="0012436F" w:rsidRPr="00595ACC" w:rsidRDefault="00661D05" w:rsidP="0012436F">
      <w:pPr>
        <w:pStyle w:val="PS-hlavika1"/>
      </w:pPr>
      <w:r w:rsidRPr="00595ACC">
        <w:t>z</w:t>
      </w:r>
      <w:r w:rsidR="00B17701">
        <w:t> </w:t>
      </w:r>
      <w:r w:rsidR="00C3669E">
        <w:t>2</w:t>
      </w:r>
      <w:r w:rsidR="00C370C2">
        <w:t>8</w:t>
      </w:r>
      <w:r w:rsidR="00B17701">
        <w:t>.</w:t>
      </w:r>
      <w:r w:rsidR="0012436F" w:rsidRPr="00595ACC">
        <w:t xml:space="preserve"> schůze</w:t>
      </w:r>
    </w:p>
    <w:p w14:paraId="591029AA" w14:textId="2149C212" w:rsidR="0012436F" w:rsidRPr="00595ACC" w:rsidRDefault="0012436F" w:rsidP="0012436F">
      <w:pPr>
        <w:pStyle w:val="PS-hlavika1"/>
      </w:pPr>
      <w:r w:rsidRPr="00595ACC">
        <w:t xml:space="preserve">ze dne </w:t>
      </w:r>
      <w:r w:rsidR="00C370C2">
        <w:t>7. prosince</w:t>
      </w:r>
      <w:r w:rsidR="009B608E">
        <w:t xml:space="preserve"> 2023</w:t>
      </w:r>
    </w:p>
    <w:p w14:paraId="5C1B3500" w14:textId="77777777" w:rsidR="00265CCD" w:rsidRPr="00595ACC" w:rsidRDefault="00265CCD" w:rsidP="00265CCD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1ACD1D77" w14:textId="77777777" w:rsidR="00265CCD" w:rsidRPr="00595ACC" w:rsidRDefault="00265CCD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49F01740" w14:textId="0DC6467B" w:rsidR="00284813" w:rsidRPr="00595ACC" w:rsidRDefault="00700A17" w:rsidP="000777D5">
      <w:pPr>
        <w:pStyle w:val="PS-slovanseznam"/>
        <w:numPr>
          <w:ilvl w:val="0"/>
          <w:numId w:val="0"/>
        </w:num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 xml:space="preserve">ke </w:t>
      </w:r>
      <w:r w:rsidR="009D2ECB">
        <w:rPr>
          <w:lang w:eastAsia="cs-CZ"/>
        </w:rPr>
        <w:t xml:space="preserve">Kontrolnímu závěru Nejvyššího kontrolního úřadu z kontrolní akce č. 21/35 – </w:t>
      </w:r>
      <w:r w:rsidR="009D2ECB" w:rsidRPr="0004639F">
        <w:rPr>
          <w:lang w:eastAsia="cs-CZ"/>
        </w:rPr>
        <w:t>Peněžní prostředky na informační podporu protiepidemických činností</w:t>
      </w:r>
    </w:p>
    <w:p w14:paraId="1AB8D4DC" w14:textId="77777777" w:rsidR="00284813" w:rsidRPr="00595ACC" w:rsidRDefault="00284813" w:rsidP="00072C7B">
      <w:pPr>
        <w:pBdr>
          <w:top w:val="single" w:sz="4" w:space="1" w:color="auto"/>
        </w:pBdr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FCAB0E6" w14:textId="22B2F357" w:rsidR="00715821" w:rsidRPr="00FA72B1" w:rsidRDefault="00E972E4" w:rsidP="00ED1006">
      <w:pPr>
        <w:pBdr>
          <w:top w:val="single" w:sz="4" w:space="1" w:color="auto"/>
        </w:pBd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Kontrolní výbor Poslanecké sněmovny Parlamentu ČR po 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úvodním výkladu </w:t>
      </w:r>
      <w:r w:rsidR="004D7CE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prezidenta Nejvyššího kontrolního úřadu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Miloslava Kaly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zpravodajské zprávě </w:t>
      </w:r>
      <w:r w:rsidR="009D2EC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poslance Radovana Vícha</w:t>
      </w:r>
      <w:r w:rsidR="00B52C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stanovisku </w:t>
      </w:r>
      <w:r w:rsidR="00DE03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náměstka ministra </w:t>
      </w:r>
      <w:r w:rsidR="009028A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zdravotnictví</w:t>
      </w:r>
      <w:r w:rsidR="00DE03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0C4A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Jakuba Dvořáčka,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stanovisku </w:t>
      </w:r>
      <w:r w:rsidR="000C4A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zástupce </w:t>
      </w:r>
      <w:r w:rsidR="009028A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ředitele Ústavu zdravotnických informací a statistiky </w:t>
      </w:r>
      <w:r w:rsidR="00CB5A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ČR </w:t>
      </w:r>
      <w:r w:rsidR="000C4A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 ekonomiku Jana Lindy</w:t>
      </w:r>
      <w:r w:rsidR="009028A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4E652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stanovisku ředitele sekce Legislativa Národní agentury pro komunikační a informační technologie Vladimíra Chrásteckého</w:t>
      </w:r>
      <w:r w:rsidR="004E6520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F0A8F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</w:t>
      </w:r>
      <w:r w:rsidR="00CB5A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 rozpravě</w:t>
      </w:r>
    </w:p>
    <w:p w14:paraId="24A831C6" w14:textId="7D433DB3" w:rsidR="00936451" w:rsidRDefault="00936451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17A2E71A" w14:textId="77777777" w:rsidR="00555C3E" w:rsidRDefault="00555C3E" w:rsidP="00E972E4">
      <w:pPr>
        <w:pStyle w:val="PS-slovanseznam"/>
        <w:numPr>
          <w:ilvl w:val="0"/>
          <w:numId w:val="0"/>
        </w:numPr>
        <w:spacing w:after="0"/>
        <w:rPr>
          <w:rFonts w:eastAsia="Times New Roman"/>
          <w:bCs/>
          <w:color w:val="000000"/>
          <w:szCs w:val="24"/>
          <w:lang w:eastAsia="cs-CZ"/>
        </w:rPr>
      </w:pPr>
    </w:p>
    <w:p w14:paraId="09329CA7" w14:textId="77777777" w:rsidR="00E972E4" w:rsidRPr="00595ACC" w:rsidRDefault="00E972E4" w:rsidP="00E972E4">
      <w:pPr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I.</w:t>
      </w:r>
      <w:r w:rsidRPr="00595ACC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="0076660E" w:rsidRPr="00CF2607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bere na vědomí</w:t>
      </w:r>
    </w:p>
    <w:p w14:paraId="75B05E59" w14:textId="1EA8BD57" w:rsidR="00E972E4" w:rsidRPr="00700A17" w:rsidRDefault="00555C3E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Kontrolní závěr Nejvyššího kontrolního úřadu z kontrolní akce č. 21/35 – Peněžní prostředky na informační podporu protiepidemických činností</w:t>
      </w:r>
      <w:r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25CD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(dále </w:t>
      </w:r>
      <w:r w:rsidR="00F03C4A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jen „Kontrolní závěr č.</w:t>
      </w:r>
      <w:r w:rsidR="006943B0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07F48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35</w:t>
      </w:r>
      <w:r w:rsidR="00E972E4" w:rsidRP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“),</w:t>
      </w:r>
    </w:p>
    <w:p w14:paraId="0A207891" w14:textId="2F8FEFA6" w:rsidR="00E972E4" w:rsidRPr="00595ACC" w:rsidRDefault="00E341EC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Zprávu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00A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Ministerstva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zdravotnictví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4050B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ke</w:t>
      </w:r>
      <w:r w:rsidR="00F03C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Kontrolnímu závěru č.</w:t>
      </w:r>
      <w:r w:rsidR="00CB5A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35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obsažen</w:t>
      </w:r>
      <w:r w:rsidR="0084172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ou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části </w:t>
      </w:r>
      <w:r w:rsidR="00725CD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</w:t>
      </w:r>
      <w:r w:rsidR="00531F1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materiálu vlády č. j.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1069</w:t>
      </w:r>
      <w:r w:rsidR="00AE7693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</w:t>
      </w:r>
      <w:r w:rsidR="00797A2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</w:p>
    <w:p w14:paraId="2BC2545F" w14:textId="1C3391A4" w:rsidR="00936451" w:rsidRDefault="00E972E4" w:rsidP="00E972E4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Usnesení vlády č.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D41D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7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ze dne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14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907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202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2,</w:t>
      </w:r>
    </w:p>
    <w:p w14:paraId="0F4EE20E" w14:textId="4DBAF933" w:rsidR="00C3669E" w:rsidRPr="00936451" w:rsidRDefault="00936451" w:rsidP="00936451">
      <w:pPr>
        <w:pStyle w:val="Odstavecseseznamem"/>
        <w:numPr>
          <w:ilvl w:val="0"/>
          <w:numId w:val="27"/>
        </w:numPr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Informaci Ministerstva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zdravotnictví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plnění opatření</w:t>
      </w:r>
      <w:r w:rsidR="00DE03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vyplývajících ze Zprávy Ministerstva zdravotnictví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ke Kontrolnímu závěru č. 21/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35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obsaženou v</w:t>
      </w:r>
      <w:r w:rsidR="007F0A4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části II materiálu vlády č. j.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157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/23</w:t>
      </w:r>
      <w:r w:rsidR="00B62442" w:rsidRP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;</w:t>
      </w:r>
    </w:p>
    <w:p w14:paraId="471E4038" w14:textId="5679D68C" w:rsidR="00936451" w:rsidRDefault="00936451" w:rsidP="00FA72B1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B288A02" w14:textId="77777777" w:rsidR="00555C3E" w:rsidRDefault="00555C3E" w:rsidP="00FA72B1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3731697D" w14:textId="294BA788" w:rsidR="006A5CB8" w:rsidRDefault="00792C0A" w:rsidP="00797A21">
      <w:pPr>
        <w:tabs>
          <w:tab w:val="left" w:pos="0"/>
        </w:tabs>
        <w:suppressAutoHyphens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II.</w:t>
      </w:r>
      <w:r w:rsidR="00555C3E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ab/>
      </w:r>
      <w:r w:rsidR="00E972E4" w:rsidRPr="00BB2402">
        <w:rPr>
          <w:rFonts w:ascii="Times New Roman" w:eastAsia="Times New Roman" w:hAnsi="Times New Roman"/>
          <w:b/>
          <w:bCs/>
          <w:color w:val="000000"/>
          <w:spacing w:val="80"/>
          <w:sz w:val="24"/>
          <w:szCs w:val="24"/>
          <w:lang w:eastAsia="cs-CZ"/>
        </w:rPr>
        <w:t>zmocňuje</w:t>
      </w:r>
      <w:r w:rsidR="00E972E4" w:rsidRPr="00595A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  <w:r w:rsidR="00E972E4" w:rsidRPr="00595AC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předsedu výboru, aby s tímto usnesením seznámil </w:t>
      </w:r>
      <w:r w:rsidR="00485FB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prezidenta Nejvyššího kontrolního úřad</w:t>
      </w:r>
      <w:r w:rsidR="00AE2C7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ministra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zdravotnictví, ředitele Ústavu zdravotnických informací a statistiky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B5A6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ČR </w:t>
      </w:r>
      <w:r w:rsidR="0093645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</w:t>
      </w:r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ředitele</w:t>
      </w:r>
      <w:r w:rsidR="005F4BE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Národní agentury pro komunikační a informační technologie</w:t>
      </w:r>
      <w:bookmarkStart w:id="0" w:name="_GoBack"/>
      <w:bookmarkEnd w:id="0"/>
      <w:r w:rsidR="00555C3E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769602CF" w14:textId="5A2B7C59" w:rsidR="00B61AC1" w:rsidRDefault="00B61AC1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0227DDD" w14:textId="264367CB" w:rsidR="00792C0A" w:rsidRDefault="00792C0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2F1AECA" w14:textId="0CCB3F45" w:rsidR="00792C0A" w:rsidRDefault="00792C0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C470345" w14:textId="7B5570A7" w:rsidR="00792C0A" w:rsidRDefault="00792C0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7CFBEAA" w14:textId="17D24D50" w:rsidR="00792C0A" w:rsidRDefault="00792C0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9ECA976" w14:textId="77777777" w:rsidR="00792C0A" w:rsidRDefault="00792C0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ECA67F5" w14:textId="77777777" w:rsidR="00354FFA" w:rsidRDefault="00354FFA" w:rsidP="00354FFA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354FFA" w14:paraId="0404A851" w14:textId="77777777" w:rsidTr="009A5E50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D42F5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Roman KUBÍČEK v. r.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EA31F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Radovan VÍCH v. r.</w:t>
            </w:r>
          </w:p>
        </w:tc>
      </w:tr>
      <w:tr w:rsidR="00354FFA" w14:paraId="619F8C4A" w14:textId="77777777" w:rsidTr="009A5E50">
        <w:trPr>
          <w:cantSplit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9ECEA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místopředseda – ověřovatel</w:t>
            </w:r>
          </w:p>
          <w:p w14:paraId="14C29D69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D74CD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předseda – zpravodaj </w:t>
            </w:r>
          </w:p>
          <w:p w14:paraId="4A16A407" w14:textId="77777777" w:rsidR="00354FFA" w:rsidRDefault="00354FFA" w:rsidP="009A5E50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Kontrolního výboru</w:t>
            </w:r>
          </w:p>
        </w:tc>
      </w:tr>
    </w:tbl>
    <w:p w14:paraId="42FC642C" w14:textId="77777777" w:rsidR="00354FFA" w:rsidRDefault="00354FFA" w:rsidP="00EB4D3B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sectPr w:rsidR="00354FFA" w:rsidSect="00792C0A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ource Sans Pro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5277"/>
    <w:multiLevelType w:val="hybridMultilevel"/>
    <w:tmpl w:val="B99C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F6284"/>
    <w:multiLevelType w:val="hybridMultilevel"/>
    <w:tmpl w:val="69FA2432"/>
    <w:lvl w:ilvl="0" w:tplc="F4DC2664">
      <w:start w:val="1"/>
      <w:numFmt w:val="upperRoman"/>
      <w:lvlText w:val="%1."/>
      <w:lvlJc w:val="left"/>
      <w:pPr>
        <w:ind w:left="731" w:hanging="720"/>
      </w:pPr>
      <w:rPr>
        <w:rFonts w:hint="default"/>
        <w:b/>
      </w:rPr>
    </w:lvl>
    <w:lvl w:ilvl="1" w:tplc="D4C0695A">
      <w:numFmt w:val="bullet"/>
      <w:lvlText w:val="-"/>
      <w:lvlJc w:val="left"/>
      <w:pPr>
        <w:ind w:left="1091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42388"/>
    <w:multiLevelType w:val="hybridMultilevel"/>
    <w:tmpl w:val="E42E72EA"/>
    <w:lvl w:ilvl="0" w:tplc="F3C0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F93144"/>
    <w:multiLevelType w:val="singleLevel"/>
    <w:tmpl w:val="8EC2462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323A17F4"/>
    <w:multiLevelType w:val="hybridMultilevel"/>
    <w:tmpl w:val="0700C4F2"/>
    <w:lvl w:ilvl="0" w:tplc="BB78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1F3"/>
    <w:multiLevelType w:val="hybridMultilevel"/>
    <w:tmpl w:val="418AD63A"/>
    <w:lvl w:ilvl="0" w:tplc="AC8C13F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B4E6877"/>
    <w:multiLevelType w:val="hybridMultilevel"/>
    <w:tmpl w:val="C7407BF0"/>
    <w:lvl w:ilvl="0" w:tplc="11F06EE6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5DD7716"/>
    <w:multiLevelType w:val="hybridMultilevel"/>
    <w:tmpl w:val="120256FC"/>
    <w:lvl w:ilvl="0" w:tplc="8EE8CC0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230480"/>
    <w:multiLevelType w:val="hybridMultilevel"/>
    <w:tmpl w:val="BA247788"/>
    <w:lvl w:ilvl="0" w:tplc="88B40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F57"/>
    <w:multiLevelType w:val="singleLevel"/>
    <w:tmpl w:val="103C4D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E2B27A1"/>
    <w:multiLevelType w:val="hybridMultilevel"/>
    <w:tmpl w:val="530AFF12"/>
    <w:lvl w:ilvl="0" w:tplc="8A16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529E"/>
    <w:multiLevelType w:val="singleLevel"/>
    <w:tmpl w:val="9DC413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8CA20F3"/>
    <w:multiLevelType w:val="hybridMultilevel"/>
    <w:tmpl w:val="BAB8AD00"/>
    <w:lvl w:ilvl="0" w:tplc="5A6091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E72E8"/>
    <w:multiLevelType w:val="hybridMultilevel"/>
    <w:tmpl w:val="A2F0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25"/>
  </w:num>
  <w:num w:numId="17">
    <w:abstractNumId w:val="11"/>
  </w:num>
  <w:num w:numId="18">
    <w:abstractNumId w:val="10"/>
  </w:num>
  <w:num w:numId="19">
    <w:abstractNumId w:val="20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21"/>
  </w:num>
  <w:num w:numId="25">
    <w:abstractNumId w:val="13"/>
  </w:num>
  <w:num w:numId="26">
    <w:abstractNumId w:val="22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F4"/>
    <w:rsid w:val="00006729"/>
    <w:rsid w:val="00007CE1"/>
    <w:rsid w:val="00013121"/>
    <w:rsid w:val="000143A5"/>
    <w:rsid w:val="00045CE7"/>
    <w:rsid w:val="00045E3D"/>
    <w:rsid w:val="000466BC"/>
    <w:rsid w:val="000476E4"/>
    <w:rsid w:val="00052C56"/>
    <w:rsid w:val="000659D2"/>
    <w:rsid w:val="00067B6F"/>
    <w:rsid w:val="00072C7B"/>
    <w:rsid w:val="00074059"/>
    <w:rsid w:val="000777D5"/>
    <w:rsid w:val="000828E8"/>
    <w:rsid w:val="00084FA6"/>
    <w:rsid w:val="000970AD"/>
    <w:rsid w:val="000B1E6B"/>
    <w:rsid w:val="000B380B"/>
    <w:rsid w:val="000C369D"/>
    <w:rsid w:val="000C4A19"/>
    <w:rsid w:val="000C5278"/>
    <w:rsid w:val="000E2E60"/>
    <w:rsid w:val="000E3EB4"/>
    <w:rsid w:val="000E730C"/>
    <w:rsid w:val="0010212E"/>
    <w:rsid w:val="00103C04"/>
    <w:rsid w:val="00103DC5"/>
    <w:rsid w:val="0010404E"/>
    <w:rsid w:val="001051F4"/>
    <w:rsid w:val="00106842"/>
    <w:rsid w:val="00115792"/>
    <w:rsid w:val="0012436F"/>
    <w:rsid w:val="001367E9"/>
    <w:rsid w:val="00142990"/>
    <w:rsid w:val="00147C40"/>
    <w:rsid w:val="001512B7"/>
    <w:rsid w:val="001630AA"/>
    <w:rsid w:val="0016538C"/>
    <w:rsid w:val="00167CD0"/>
    <w:rsid w:val="00173E2A"/>
    <w:rsid w:val="00186CEC"/>
    <w:rsid w:val="00190A79"/>
    <w:rsid w:val="00191A91"/>
    <w:rsid w:val="00192F93"/>
    <w:rsid w:val="00193A6B"/>
    <w:rsid w:val="00193DB2"/>
    <w:rsid w:val="00197C6B"/>
    <w:rsid w:val="001A065D"/>
    <w:rsid w:val="001A11D8"/>
    <w:rsid w:val="001B45F3"/>
    <w:rsid w:val="001C25DB"/>
    <w:rsid w:val="001C7D3D"/>
    <w:rsid w:val="001D0461"/>
    <w:rsid w:val="001D08B1"/>
    <w:rsid w:val="001D2F79"/>
    <w:rsid w:val="001D4140"/>
    <w:rsid w:val="001E1D4D"/>
    <w:rsid w:val="001E652B"/>
    <w:rsid w:val="001F199C"/>
    <w:rsid w:val="001F4518"/>
    <w:rsid w:val="00206BA7"/>
    <w:rsid w:val="0020711B"/>
    <w:rsid w:val="0020748B"/>
    <w:rsid w:val="00230024"/>
    <w:rsid w:val="0023440A"/>
    <w:rsid w:val="0024565D"/>
    <w:rsid w:val="00254049"/>
    <w:rsid w:val="00260430"/>
    <w:rsid w:val="00265229"/>
    <w:rsid w:val="00265CCD"/>
    <w:rsid w:val="00272E1B"/>
    <w:rsid w:val="002750C5"/>
    <w:rsid w:val="00280536"/>
    <w:rsid w:val="00282849"/>
    <w:rsid w:val="00284813"/>
    <w:rsid w:val="00292B8F"/>
    <w:rsid w:val="00296B20"/>
    <w:rsid w:val="002A2F32"/>
    <w:rsid w:val="002B0FB6"/>
    <w:rsid w:val="002B60B3"/>
    <w:rsid w:val="002C5547"/>
    <w:rsid w:val="002C6BED"/>
    <w:rsid w:val="002F12B3"/>
    <w:rsid w:val="00302CD6"/>
    <w:rsid w:val="00304A59"/>
    <w:rsid w:val="0030723A"/>
    <w:rsid w:val="003211A3"/>
    <w:rsid w:val="00323CF1"/>
    <w:rsid w:val="00326745"/>
    <w:rsid w:val="00342061"/>
    <w:rsid w:val="0034304A"/>
    <w:rsid w:val="00350856"/>
    <w:rsid w:val="00354FFA"/>
    <w:rsid w:val="00355D02"/>
    <w:rsid w:val="00356011"/>
    <w:rsid w:val="003646B7"/>
    <w:rsid w:val="00364A2C"/>
    <w:rsid w:val="00365A07"/>
    <w:rsid w:val="0037303B"/>
    <w:rsid w:val="00376602"/>
    <w:rsid w:val="00377253"/>
    <w:rsid w:val="0038044B"/>
    <w:rsid w:val="003817CB"/>
    <w:rsid w:val="00383DBE"/>
    <w:rsid w:val="0039417B"/>
    <w:rsid w:val="003A27E7"/>
    <w:rsid w:val="003A3065"/>
    <w:rsid w:val="003A6191"/>
    <w:rsid w:val="003B1EBB"/>
    <w:rsid w:val="003B65A7"/>
    <w:rsid w:val="003C4B25"/>
    <w:rsid w:val="003C52CD"/>
    <w:rsid w:val="003D2033"/>
    <w:rsid w:val="003D5424"/>
    <w:rsid w:val="003D5633"/>
    <w:rsid w:val="003D6656"/>
    <w:rsid w:val="003F1E24"/>
    <w:rsid w:val="003F3A68"/>
    <w:rsid w:val="003F54EC"/>
    <w:rsid w:val="003F7D86"/>
    <w:rsid w:val="004015B1"/>
    <w:rsid w:val="004050BF"/>
    <w:rsid w:val="00407850"/>
    <w:rsid w:val="00407A21"/>
    <w:rsid w:val="00410062"/>
    <w:rsid w:val="00412425"/>
    <w:rsid w:val="0042117A"/>
    <w:rsid w:val="00421FA5"/>
    <w:rsid w:val="0043331D"/>
    <w:rsid w:val="004344D9"/>
    <w:rsid w:val="00434E00"/>
    <w:rsid w:val="0044655F"/>
    <w:rsid w:val="00447182"/>
    <w:rsid w:val="0045353B"/>
    <w:rsid w:val="00463CE0"/>
    <w:rsid w:val="00467A38"/>
    <w:rsid w:val="00471A27"/>
    <w:rsid w:val="0047628B"/>
    <w:rsid w:val="00484011"/>
    <w:rsid w:val="00485FBE"/>
    <w:rsid w:val="00495695"/>
    <w:rsid w:val="00496B22"/>
    <w:rsid w:val="004A1821"/>
    <w:rsid w:val="004B49FF"/>
    <w:rsid w:val="004B4BAA"/>
    <w:rsid w:val="004C0CF4"/>
    <w:rsid w:val="004C35DE"/>
    <w:rsid w:val="004D1097"/>
    <w:rsid w:val="004D59AF"/>
    <w:rsid w:val="004D61F8"/>
    <w:rsid w:val="004D7CE7"/>
    <w:rsid w:val="004E4749"/>
    <w:rsid w:val="004E4B7D"/>
    <w:rsid w:val="004E60F0"/>
    <w:rsid w:val="004E6520"/>
    <w:rsid w:val="005012C1"/>
    <w:rsid w:val="00503AD4"/>
    <w:rsid w:val="00503F63"/>
    <w:rsid w:val="00512538"/>
    <w:rsid w:val="00512C2D"/>
    <w:rsid w:val="00515A78"/>
    <w:rsid w:val="005179EE"/>
    <w:rsid w:val="0052154E"/>
    <w:rsid w:val="005227BF"/>
    <w:rsid w:val="00522E11"/>
    <w:rsid w:val="00531F10"/>
    <w:rsid w:val="00535DFA"/>
    <w:rsid w:val="0054650D"/>
    <w:rsid w:val="005556BF"/>
    <w:rsid w:val="00555C3E"/>
    <w:rsid w:val="005607BB"/>
    <w:rsid w:val="00565C40"/>
    <w:rsid w:val="00566A4C"/>
    <w:rsid w:val="005855A6"/>
    <w:rsid w:val="00595ACC"/>
    <w:rsid w:val="005A125E"/>
    <w:rsid w:val="005A7245"/>
    <w:rsid w:val="005B3451"/>
    <w:rsid w:val="005C30D7"/>
    <w:rsid w:val="005C6AB1"/>
    <w:rsid w:val="005C71F8"/>
    <w:rsid w:val="005C7691"/>
    <w:rsid w:val="005D36DC"/>
    <w:rsid w:val="005E094C"/>
    <w:rsid w:val="005E395F"/>
    <w:rsid w:val="005E4081"/>
    <w:rsid w:val="005F4BE3"/>
    <w:rsid w:val="005F6CAE"/>
    <w:rsid w:val="00603D65"/>
    <w:rsid w:val="00603ED3"/>
    <w:rsid w:val="00606EAC"/>
    <w:rsid w:val="006101ED"/>
    <w:rsid w:val="006138FD"/>
    <w:rsid w:val="00614ED0"/>
    <w:rsid w:val="00620764"/>
    <w:rsid w:val="00637489"/>
    <w:rsid w:val="00644849"/>
    <w:rsid w:val="00645927"/>
    <w:rsid w:val="00646E8F"/>
    <w:rsid w:val="00647667"/>
    <w:rsid w:val="00656C45"/>
    <w:rsid w:val="00661D05"/>
    <w:rsid w:val="00673C53"/>
    <w:rsid w:val="006850AA"/>
    <w:rsid w:val="006869AA"/>
    <w:rsid w:val="006915AC"/>
    <w:rsid w:val="00694196"/>
    <w:rsid w:val="006943B0"/>
    <w:rsid w:val="00694D7E"/>
    <w:rsid w:val="006A5CB8"/>
    <w:rsid w:val="006C5B6F"/>
    <w:rsid w:val="006D427E"/>
    <w:rsid w:val="006D4B54"/>
    <w:rsid w:val="006D73CB"/>
    <w:rsid w:val="006E0383"/>
    <w:rsid w:val="006F1AD6"/>
    <w:rsid w:val="006F3147"/>
    <w:rsid w:val="006F5928"/>
    <w:rsid w:val="00700A17"/>
    <w:rsid w:val="0070749C"/>
    <w:rsid w:val="00715821"/>
    <w:rsid w:val="00724D30"/>
    <w:rsid w:val="00725CDA"/>
    <w:rsid w:val="007317D5"/>
    <w:rsid w:val="007329C8"/>
    <w:rsid w:val="00734BAD"/>
    <w:rsid w:val="0074503C"/>
    <w:rsid w:val="0075131D"/>
    <w:rsid w:val="0076247D"/>
    <w:rsid w:val="007638CB"/>
    <w:rsid w:val="0076660E"/>
    <w:rsid w:val="007679F4"/>
    <w:rsid w:val="00776212"/>
    <w:rsid w:val="007767BB"/>
    <w:rsid w:val="00777394"/>
    <w:rsid w:val="00785E70"/>
    <w:rsid w:val="00791206"/>
    <w:rsid w:val="00792C0A"/>
    <w:rsid w:val="007975B5"/>
    <w:rsid w:val="00797A21"/>
    <w:rsid w:val="007A3C67"/>
    <w:rsid w:val="007A71FC"/>
    <w:rsid w:val="007C62A8"/>
    <w:rsid w:val="007C62DA"/>
    <w:rsid w:val="007C658A"/>
    <w:rsid w:val="007C7A84"/>
    <w:rsid w:val="007D28F3"/>
    <w:rsid w:val="007D5EE1"/>
    <w:rsid w:val="007D7120"/>
    <w:rsid w:val="007E1D0B"/>
    <w:rsid w:val="007E4CC2"/>
    <w:rsid w:val="007F0A40"/>
    <w:rsid w:val="008033F7"/>
    <w:rsid w:val="00807EE4"/>
    <w:rsid w:val="0081100E"/>
    <w:rsid w:val="00812496"/>
    <w:rsid w:val="00827B26"/>
    <w:rsid w:val="00830075"/>
    <w:rsid w:val="00830BFE"/>
    <w:rsid w:val="0083515D"/>
    <w:rsid w:val="00837F6C"/>
    <w:rsid w:val="00840294"/>
    <w:rsid w:val="0084172E"/>
    <w:rsid w:val="00847E61"/>
    <w:rsid w:val="0085134C"/>
    <w:rsid w:val="00856FC3"/>
    <w:rsid w:val="00860D7D"/>
    <w:rsid w:val="008835D0"/>
    <w:rsid w:val="00884C3D"/>
    <w:rsid w:val="00884CD7"/>
    <w:rsid w:val="00893C29"/>
    <w:rsid w:val="00895055"/>
    <w:rsid w:val="008A0376"/>
    <w:rsid w:val="008B2B01"/>
    <w:rsid w:val="008D411E"/>
    <w:rsid w:val="008E65AA"/>
    <w:rsid w:val="008E6BA3"/>
    <w:rsid w:val="008E74B0"/>
    <w:rsid w:val="009028A0"/>
    <w:rsid w:val="00903269"/>
    <w:rsid w:val="00903D96"/>
    <w:rsid w:val="00906552"/>
    <w:rsid w:val="00907F48"/>
    <w:rsid w:val="00911102"/>
    <w:rsid w:val="009239EA"/>
    <w:rsid w:val="00932178"/>
    <w:rsid w:val="00932451"/>
    <w:rsid w:val="00936451"/>
    <w:rsid w:val="00936696"/>
    <w:rsid w:val="00937CE6"/>
    <w:rsid w:val="009404EF"/>
    <w:rsid w:val="009420D2"/>
    <w:rsid w:val="00950E6B"/>
    <w:rsid w:val="0095120E"/>
    <w:rsid w:val="00953BF9"/>
    <w:rsid w:val="0095572A"/>
    <w:rsid w:val="00964CA4"/>
    <w:rsid w:val="009704BE"/>
    <w:rsid w:val="009711DE"/>
    <w:rsid w:val="00972845"/>
    <w:rsid w:val="009777FB"/>
    <w:rsid w:val="0098531F"/>
    <w:rsid w:val="0098578A"/>
    <w:rsid w:val="00994162"/>
    <w:rsid w:val="009950F3"/>
    <w:rsid w:val="009964C2"/>
    <w:rsid w:val="009B3DC1"/>
    <w:rsid w:val="009B608E"/>
    <w:rsid w:val="009C3B63"/>
    <w:rsid w:val="009D2ECB"/>
    <w:rsid w:val="009E3CF1"/>
    <w:rsid w:val="00A02F07"/>
    <w:rsid w:val="00A0487B"/>
    <w:rsid w:val="00A04A25"/>
    <w:rsid w:val="00A05958"/>
    <w:rsid w:val="00A158EC"/>
    <w:rsid w:val="00A160F0"/>
    <w:rsid w:val="00A209F3"/>
    <w:rsid w:val="00A25593"/>
    <w:rsid w:val="00A2751F"/>
    <w:rsid w:val="00A3255D"/>
    <w:rsid w:val="00A325FF"/>
    <w:rsid w:val="00A347CB"/>
    <w:rsid w:val="00A3529C"/>
    <w:rsid w:val="00A4628B"/>
    <w:rsid w:val="00A46CDA"/>
    <w:rsid w:val="00A47900"/>
    <w:rsid w:val="00A67FEB"/>
    <w:rsid w:val="00A728DE"/>
    <w:rsid w:val="00A770E9"/>
    <w:rsid w:val="00AA0D27"/>
    <w:rsid w:val="00AA7A50"/>
    <w:rsid w:val="00AC049E"/>
    <w:rsid w:val="00AC4629"/>
    <w:rsid w:val="00AD4726"/>
    <w:rsid w:val="00AD6664"/>
    <w:rsid w:val="00AE2C74"/>
    <w:rsid w:val="00AE7693"/>
    <w:rsid w:val="00AF297C"/>
    <w:rsid w:val="00B12194"/>
    <w:rsid w:val="00B12979"/>
    <w:rsid w:val="00B13892"/>
    <w:rsid w:val="00B14F4E"/>
    <w:rsid w:val="00B15C99"/>
    <w:rsid w:val="00B17701"/>
    <w:rsid w:val="00B21A80"/>
    <w:rsid w:val="00B229EB"/>
    <w:rsid w:val="00B22FAA"/>
    <w:rsid w:val="00B268EB"/>
    <w:rsid w:val="00B3477E"/>
    <w:rsid w:val="00B359A1"/>
    <w:rsid w:val="00B52CEB"/>
    <w:rsid w:val="00B53E8D"/>
    <w:rsid w:val="00B54F8C"/>
    <w:rsid w:val="00B61AC1"/>
    <w:rsid w:val="00B61ED3"/>
    <w:rsid w:val="00B62442"/>
    <w:rsid w:val="00B633D0"/>
    <w:rsid w:val="00B646CB"/>
    <w:rsid w:val="00B663F9"/>
    <w:rsid w:val="00B67FCF"/>
    <w:rsid w:val="00B70563"/>
    <w:rsid w:val="00B715B6"/>
    <w:rsid w:val="00B746DD"/>
    <w:rsid w:val="00B81054"/>
    <w:rsid w:val="00B843F5"/>
    <w:rsid w:val="00B900A6"/>
    <w:rsid w:val="00B9640B"/>
    <w:rsid w:val="00BB2402"/>
    <w:rsid w:val="00BB30AD"/>
    <w:rsid w:val="00BB5E40"/>
    <w:rsid w:val="00BB63E2"/>
    <w:rsid w:val="00BC4C9F"/>
    <w:rsid w:val="00BC5854"/>
    <w:rsid w:val="00BD2AD9"/>
    <w:rsid w:val="00BD3BB6"/>
    <w:rsid w:val="00BE75B8"/>
    <w:rsid w:val="00BF6B47"/>
    <w:rsid w:val="00C0586B"/>
    <w:rsid w:val="00C205FB"/>
    <w:rsid w:val="00C2178C"/>
    <w:rsid w:val="00C3669E"/>
    <w:rsid w:val="00C367AB"/>
    <w:rsid w:val="00C370C2"/>
    <w:rsid w:val="00C433D7"/>
    <w:rsid w:val="00C54A1B"/>
    <w:rsid w:val="00C56014"/>
    <w:rsid w:val="00C76122"/>
    <w:rsid w:val="00C810B9"/>
    <w:rsid w:val="00C823F3"/>
    <w:rsid w:val="00C82709"/>
    <w:rsid w:val="00C845EE"/>
    <w:rsid w:val="00C92714"/>
    <w:rsid w:val="00C97B9B"/>
    <w:rsid w:val="00CA1608"/>
    <w:rsid w:val="00CA2498"/>
    <w:rsid w:val="00CB0A42"/>
    <w:rsid w:val="00CB2B3F"/>
    <w:rsid w:val="00CB5A69"/>
    <w:rsid w:val="00CC40FF"/>
    <w:rsid w:val="00CC51EC"/>
    <w:rsid w:val="00CC5A1B"/>
    <w:rsid w:val="00CC6544"/>
    <w:rsid w:val="00CC694F"/>
    <w:rsid w:val="00CC7DBA"/>
    <w:rsid w:val="00CD486F"/>
    <w:rsid w:val="00CD7882"/>
    <w:rsid w:val="00CE0689"/>
    <w:rsid w:val="00CE271F"/>
    <w:rsid w:val="00CE5403"/>
    <w:rsid w:val="00CE7710"/>
    <w:rsid w:val="00CF143E"/>
    <w:rsid w:val="00D41D71"/>
    <w:rsid w:val="00D41E9B"/>
    <w:rsid w:val="00D423FB"/>
    <w:rsid w:val="00D47D3C"/>
    <w:rsid w:val="00D64A99"/>
    <w:rsid w:val="00D65E59"/>
    <w:rsid w:val="00D66ED0"/>
    <w:rsid w:val="00D7166A"/>
    <w:rsid w:val="00D72AA2"/>
    <w:rsid w:val="00D76FB3"/>
    <w:rsid w:val="00D819DB"/>
    <w:rsid w:val="00D91CC2"/>
    <w:rsid w:val="00D92E77"/>
    <w:rsid w:val="00DA13BF"/>
    <w:rsid w:val="00DA1E95"/>
    <w:rsid w:val="00DB6F85"/>
    <w:rsid w:val="00DC29E4"/>
    <w:rsid w:val="00DC58D4"/>
    <w:rsid w:val="00DC6EFA"/>
    <w:rsid w:val="00DD0C3F"/>
    <w:rsid w:val="00DE035A"/>
    <w:rsid w:val="00DE30DC"/>
    <w:rsid w:val="00DE3D65"/>
    <w:rsid w:val="00DE3FE2"/>
    <w:rsid w:val="00DF0808"/>
    <w:rsid w:val="00E010DE"/>
    <w:rsid w:val="00E05C9E"/>
    <w:rsid w:val="00E25FA8"/>
    <w:rsid w:val="00E26C10"/>
    <w:rsid w:val="00E30FD4"/>
    <w:rsid w:val="00E332EB"/>
    <w:rsid w:val="00E341EC"/>
    <w:rsid w:val="00E41AF2"/>
    <w:rsid w:val="00E42D20"/>
    <w:rsid w:val="00E467C4"/>
    <w:rsid w:val="00E51C8A"/>
    <w:rsid w:val="00E5353A"/>
    <w:rsid w:val="00E62BDC"/>
    <w:rsid w:val="00E63140"/>
    <w:rsid w:val="00E726FB"/>
    <w:rsid w:val="00E972E4"/>
    <w:rsid w:val="00EA7118"/>
    <w:rsid w:val="00EB4D3B"/>
    <w:rsid w:val="00EB644B"/>
    <w:rsid w:val="00EC2249"/>
    <w:rsid w:val="00EC4E3D"/>
    <w:rsid w:val="00ED1006"/>
    <w:rsid w:val="00ED15A8"/>
    <w:rsid w:val="00ED2C41"/>
    <w:rsid w:val="00ED6CD8"/>
    <w:rsid w:val="00EE297E"/>
    <w:rsid w:val="00EE2EC1"/>
    <w:rsid w:val="00EE6B69"/>
    <w:rsid w:val="00EE7A5E"/>
    <w:rsid w:val="00EF0A8F"/>
    <w:rsid w:val="00EF1F98"/>
    <w:rsid w:val="00EF23A1"/>
    <w:rsid w:val="00EF39FC"/>
    <w:rsid w:val="00EF3B15"/>
    <w:rsid w:val="00EF5098"/>
    <w:rsid w:val="00EF679B"/>
    <w:rsid w:val="00F01972"/>
    <w:rsid w:val="00F03C4A"/>
    <w:rsid w:val="00F05733"/>
    <w:rsid w:val="00F110E1"/>
    <w:rsid w:val="00F203FA"/>
    <w:rsid w:val="00F32FFA"/>
    <w:rsid w:val="00F43859"/>
    <w:rsid w:val="00F463D5"/>
    <w:rsid w:val="00F51024"/>
    <w:rsid w:val="00F53B0B"/>
    <w:rsid w:val="00F635C1"/>
    <w:rsid w:val="00F87605"/>
    <w:rsid w:val="00F91F92"/>
    <w:rsid w:val="00FA72B1"/>
    <w:rsid w:val="00FB3582"/>
    <w:rsid w:val="00FB7FFA"/>
    <w:rsid w:val="00FC28F1"/>
    <w:rsid w:val="00FD246D"/>
    <w:rsid w:val="00FD3EBB"/>
    <w:rsid w:val="00FD4E3B"/>
    <w:rsid w:val="00FE134C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DBE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1">
    <w:name w:val="Document 1"/>
    <w:rsid w:val="00827B26"/>
    <w:pPr>
      <w:keepNext/>
      <w:keepLines/>
      <w:tabs>
        <w:tab w:val="left" w:pos="-720"/>
      </w:tabs>
      <w:suppressAutoHyphens/>
    </w:pPr>
    <w:rPr>
      <w:rFonts w:ascii="CG Omega" w:eastAsia="Times New Roman" w:hAnsi="CG Omega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0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A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0A4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0F4E-6529-4326-8937-2C58AFEA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21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Jirikova</dc:creator>
  <cp:keywords/>
  <dc:description/>
  <cp:lastModifiedBy>Kateřina Dvořáková</cp:lastModifiedBy>
  <cp:revision>16</cp:revision>
  <cp:lastPrinted>2023-11-02T09:27:00Z</cp:lastPrinted>
  <dcterms:created xsi:type="dcterms:W3CDTF">2023-11-15T07:54:00Z</dcterms:created>
  <dcterms:modified xsi:type="dcterms:W3CDTF">2023-12-07T12:47:00Z</dcterms:modified>
</cp:coreProperties>
</file>