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0E" w:rsidRDefault="00CA550E" w:rsidP="00CA550E">
      <w:pPr>
        <w:pStyle w:val="PShlavika1"/>
        <w:spacing w:line="240" w:lineRule="auto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Parlament České republiky</w:t>
      </w:r>
    </w:p>
    <w:p w:rsidR="00CA550E" w:rsidRDefault="00CA550E" w:rsidP="00CA550E">
      <w:pPr>
        <w:pStyle w:val="PShlavika2"/>
        <w:spacing w:line="240" w:lineRule="auto"/>
        <w:rPr>
          <w:color w:val="000000" w:themeColor="text1"/>
        </w:rPr>
      </w:pPr>
      <w:r>
        <w:rPr>
          <w:color w:val="000000" w:themeColor="text1"/>
        </w:rPr>
        <w:t>POSLANECKÁ SNĚMOVNA</w:t>
      </w:r>
    </w:p>
    <w:p w:rsidR="00CA550E" w:rsidRDefault="00CA550E" w:rsidP="00CA550E">
      <w:pPr>
        <w:pStyle w:val="PShlavika2"/>
        <w:spacing w:line="240" w:lineRule="auto"/>
        <w:rPr>
          <w:color w:val="000000" w:themeColor="text1"/>
        </w:rPr>
      </w:pPr>
      <w:r>
        <w:rPr>
          <w:color w:val="000000" w:themeColor="text1"/>
        </w:rPr>
        <w:t>2024</w:t>
      </w:r>
    </w:p>
    <w:p w:rsidR="00CA550E" w:rsidRDefault="00CA550E" w:rsidP="00CA550E">
      <w:pPr>
        <w:pStyle w:val="PShlavika1"/>
        <w:spacing w:line="240" w:lineRule="auto"/>
        <w:rPr>
          <w:color w:val="000000" w:themeColor="text1"/>
        </w:rPr>
      </w:pPr>
      <w:r>
        <w:rPr>
          <w:color w:val="000000" w:themeColor="text1"/>
        </w:rPr>
        <w:t>9. volební období</w:t>
      </w:r>
    </w:p>
    <w:p w:rsidR="00CA550E" w:rsidRDefault="005569F8" w:rsidP="00CA550E">
      <w:pPr>
        <w:pStyle w:val="PSslousnesen"/>
        <w:spacing w:before="360" w:after="360" w:line="240" w:lineRule="auto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241</w:t>
      </w:r>
    </w:p>
    <w:p w:rsidR="00CA550E" w:rsidRDefault="00CA550E" w:rsidP="00CA550E">
      <w:pPr>
        <w:pStyle w:val="PShlavika3"/>
        <w:spacing w:line="240" w:lineRule="auto"/>
        <w:rPr>
          <w:color w:val="000000" w:themeColor="text1"/>
        </w:rPr>
      </w:pPr>
      <w:r>
        <w:rPr>
          <w:color w:val="000000" w:themeColor="text1"/>
        </w:rPr>
        <w:t>USNESENÍ</w:t>
      </w:r>
    </w:p>
    <w:p w:rsidR="00CA550E" w:rsidRDefault="00CA550E" w:rsidP="00CA550E">
      <w:pPr>
        <w:pStyle w:val="PShlavika1"/>
        <w:spacing w:line="240" w:lineRule="auto"/>
        <w:rPr>
          <w:color w:val="000000" w:themeColor="text1"/>
          <w:lang w:eastAsia="cs-CZ"/>
        </w:rPr>
      </w:pPr>
      <w:r>
        <w:rPr>
          <w:color w:val="000000" w:themeColor="text1"/>
        </w:rPr>
        <w:t>hospodářského výboru</w:t>
      </w:r>
    </w:p>
    <w:p w:rsidR="00CA550E" w:rsidRDefault="00CA550E" w:rsidP="00CA550E">
      <w:pPr>
        <w:pStyle w:val="PShlavika1"/>
        <w:spacing w:line="240" w:lineRule="auto"/>
        <w:rPr>
          <w:color w:val="000000" w:themeColor="text1"/>
          <w:lang w:eastAsia="cs-CZ"/>
        </w:rPr>
      </w:pPr>
      <w:r>
        <w:rPr>
          <w:color w:val="000000" w:themeColor="text1"/>
        </w:rPr>
        <w:t>ze 42. schůze</w:t>
      </w:r>
    </w:p>
    <w:p w:rsidR="00CA550E" w:rsidRDefault="00CA550E" w:rsidP="00CA550E">
      <w:pPr>
        <w:pStyle w:val="PShlavika1"/>
        <w:spacing w:after="720" w:line="240" w:lineRule="auto"/>
        <w:rPr>
          <w:color w:val="000000" w:themeColor="text1"/>
          <w:lang w:eastAsia="cs-CZ"/>
        </w:rPr>
      </w:pPr>
      <w:r>
        <w:rPr>
          <w:color w:val="000000" w:themeColor="text1"/>
        </w:rPr>
        <w:t>ze dne 7. května 2024</w:t>
      </w:r>
    </w:p>
    <w:p w:rsidR="00CA550E" w:rsidRDefault="00CA550E" w:rsidP="00CA550E">
      <w:pPr>
        <w:pStyle w:val="PSnzevzkona"/>
        <w:spacing w:after="480"/>
        <w:rPr>
          <w:color w:val="000000" w:themeColor="text1"/>
        </w:rPr>
      </w:pPr>
      <w:r>
        <w:rPr>
          <w:color w:val="000000" w:themeColor="text1"/>
        </w:rPr>
        <w:t>k možnostem řešení stavu energetické bezpečnosti a stability České republiky</w:t>
      </w:r>
    </w:p>
    <w:p w:rsidR="009D076D" w:rsidRDefault="00CA550E" w:rsidP="004233B7">
      <w:pPr>
        <w:spacing w:before="480" w:after="0" w:line="269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Hospodářský výbor Poslanecké sněmovny Parlamentu ČR po vyslechnutí informace předsedy podvýboru pro energetiku Roberta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Teleky</w:t>
      </w:r>
      <w:r w:rsidR="00CE2B8D">
        <w:rPr>
          <w:rFonts w:ascii="Times New Roman" w:hAnsi="Times New Roman"/>
          <w:color w:val="000000" w:themeColor="text1"/>
          <w:sz w:val="24"/>
          <w:szCs w:val="24"/>
        </w:rPr>
        <w:t>ho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 projednávání této problematiky na schůzi podvýboru pro energetiku a po rozpravě</w:t>
      </w:r>
    </w:p>
    <w:p w:rsidR="00CA550E" w:rsidRPr="008868A7" w:rsidRDefault="008868A7" w:rsidP="004233B7">
      <w:pPr>
        <w:pStyle w:val="Odstavecseseznamem"/>
        <w:numPr>
          <w:ilvl w:val="0"/>
          <w:numId w:val="1"/>
        </w:numPr>
        <w:spacing w:before="300" w:after="0" w:line="269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68A7">
        <w:rPr>
          <w:rFonts w:ascii="Times New Roman tučné" w:hAnsi="Times New Roman tučné"/>
          <w:b/>
          <w:color w:val="000000" w:themeColor="text1"/>
          <w:spacing w:val="30"/>
          <w:sz w:val="24"/>
          <w:szCs w:val="24"/>
        </w:rPr>
        <w:t>bere na vědomí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usnesení podvýboru pro energetiku č. 8 ze dne 27. března 2024;</w:t>
      </w:r>
    </w:p>
    <w:p w:rsidR="00CA550E" w:rsidRDefault="00CA550E" w:rsidP="004233B7">
      <w:pPr>
        <w:pStyle w:val="Odstavecseseznamem"/>
        <w:numPr>
          <w:ilvl w:val="0"/>
          <w:numId w:val="1"/>
        </w:numPr>
        <w:spacing w:before="300" w:after="200" w:line="269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 tučné" w:hAnsi="Times New Roman tučné"/>
          <w:b/>
          <w:color w:val="000000" w:themeColor="text1"/>
          <w:spacing w:val="30"/>
          <w:sz w:val="24"/>
          <w:szCs w:val="24"/>
        </w:rPr>
        <w:t>konstatuje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že </w:t>
      </w:r>
    </w:p>
    <w:p w:rsidR="00CA550E" w:rsidRDefault="00CA550E" w:rsidP="004233B7">
      <w:pPr>
        <w:pStyle w:val="Odstavecseseznamem"/>
        <w:numPr>
          <w:ilvl w:val="1"/>
          <w:numId w:val="2"/>
        </w:numPr>
        <w:spacing w:before="200" w:after="200" w:line="269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 konkurenceschopnost, bezpečnost a odolnost České republiky je zcela zásadní zachování stabilních a cenově dostupných dodávek energií včetně tepla;</w:t>
      </w:r>
    </w:p>
    <w:p w:rsidR="00CA550E" w:rsidRDefault="00CA550E" w:rsidP="004233B7">
      <w:pPr>
        <w:pStyle w:val="Odstavecseseznamem"/>
        <w:numPr>
          <w:ilvl w:val="1"/>
          <w:numId w:val="2"/>
        </w:numPr>
        <w:spacing w:before="200" w:after="200" w:line="269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lze očekávat z objektivních ekonomických důvodů útlum uhelných zdrojů ve výrazně dřívějším termínu, než bylo původně uvažováno ve strategických dokumentech České republiky;</w:t>
      </w:r>
    </w:p>
    <w:p w:rsidR="00CA550E" w:rsidRDefault="00CA550E" w:rsidP="004233B7">
      <w:pPr>
        <w:pStyle w:val="Odstavecseseznamem"/>
        <w:numPr>
          <w:ilvl w:val="1"/>
          <w:numId w:val="2"/>
        </w:numPr>
        <w:spacing w:before="200" w:after="200" w:line="269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 bezpečné a efektivní fungování české energetiky je společně s rozvojem obnovitelných zdrojů nutné souběžně zajistit i provoz zdrojů řiditelných a urychlit přechod na nové plynové zdroje, které doplní stávající uhelné zdroje,</w:t>
      </w:r>
      <w:r>
        <w:rPr>
          <w:rFonts w:ascii="Times New Roman" w:hAnsi="Times New Roman"/>
          <w:sz w:val="24"/>
          <w:szCs w:val="24"/>
        </w:rPr>
        <w:t xml:space="preserve"> zejména pak kombinované výroby elektřiny a tepla (KVET) a systémových služeb, a toto urychlení podpořit příslušným zjednodušením povolovacích procesů;</w:t>
      </w:r>
    </w:p>
    <w:p w:rsidR="00CA550E" w:rsidRDefault="00CA550E" w:rsidP="004233B7">
      <w:pPr>
        <w:pStyle w:val="Odstavecseseznamem"/>
        <w:numPr>
          <w:ilvl w:val="1"/>
          <w:numId w:val="2"/>
        </w:numPr>
        <w:spacing w:before="200" w:after="200" w:line="269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 nutné vytvořit systém opatření a nástrojů pro výrobu elektrické energie a tepla, včetně výroby z fosilních paliv, v přechodovém období pro případ předcházení vzniku stavu nouze, mimořádných tržních situací a zdrojové nepřiměřenosti;</w:t>
      </w:r>
    </w:p>
    <w:p w:rsidR="00CA550E" w:rsidRDefault="00CA550E" w:rsidP="004233B7">
      <w:pPr>
        <w:pStyle w:val="Odstavecseseznamem"/>
        <w:numPr>
          <w:ilvl w:val="1"/>
          <w:numId w:val="2"/>
        </w:numPr>
        <w:spacing w:before="200" w:after="200" w:line="269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 přes očekávaný rozvoj biometanu bude i v příštích letech dominantním plynem pro českou energetiku zemní plyn;</w:t>
      </w:r>
    </w:p>
    <w:p w:rsidR="00CA550E" w:rsidRDefault="00CA550E" w:rsidP="004233B7">
      <w:pPr>
        <w:pStyle w:val="Odstavecseseznamem"/>
        <w:numPr>
          <w:ilvl w:val="1"/>
          <w:numId w:val="2"/>
        </w:numPr>
        <w:spacing w:before="200" w:after="200" w:line="269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vhodným řešením je zavedení kapacitních a alternativních mechanismů na stávající </w:t>
      </w:r>
      <w:r w:rsidR="00E95E46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a nové zdroje, které zajistí udržitelnou cenu tepla a elektrické energie.</w:t>
      </w:r>
    </w:p>
    <w:p w:rsidR="00CA550E" w:rsidRDefault="00CA550E" w:rsidP="006A5C0F">
      <w:pPr>
        <w:pStyle w:val="Odstavecseseznamem"/>
        <w:numPr>
          <w:ilvl w:val="0"/>
          <w:numId w:val="1"/>
        </w:numPr>
        <w:spacing w:before="360" w:after="240" w:line="269" w:lineRule="auto"/>
        <w:ind w:left="709" w:hanging="709"/>
        <w:contextualSpacing w:val="0"/>
        <w:jc w:val="both"/>
        <w:rPr>
          <w:rFonts w:ascii="Times New Roman tučné" w:hAnsi="Times New Roman tučné"/>
          <w:b/>
          <w:color w:val="000000" w:themeColor="text1"/>
          <w:spacing w:val="30"/>
          <w:sz w:val="24"/>
          <w:szCs w:val="24"/>
        </w:rPr>
      </w:pPr>
      <w:r>
        <w:rPr>
          <w:rFonts w:ascii="Times New Roman tučné" w:hAnsi="Times New Roman tučné"/>
          <w:b/>
          <w:color w:val="000000" w:themeColor="text1"/>
          <w:spacing w:val="30"/>
          <w:sz w:val="24"/>
          <w:szCs w:val="24"/>
        </w:rPr>
        <w:lastRenderedPageBreak/>
        <w:t>Vyzývá</w:t>
      </w:r>
    </w:p>
    <w:p w:rsidR="00CA550E" w:rsidRDefault="00CA550E" w:rsidP="004233B7">
      <w:pPr>
        <w:pStyle w:val="Odstavecseseznamem"/>
        <w:numPr>
          <w:ilvl w:val="1"/>
          <w:numId w:val="3"/>
        </w:numPr>
        <w:spacing w:before="200" w:after="200" w:line="269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Ministerstvo průmyslu a obchodu a Ministerstvo financí, aby bezodkladně navrhla konkrétní legislativní úpravu, která zavede kapacitní a alternativní mechanismy na stávající a nové zdroje v České republice, zejména KVET a systémové služby, případně další nezbytné nástroje pro výrobu elektrické energie a tepla, a tuto úpravu prioritně notifikovat na úrovni Evropské komise;</w:t>
      </w:r>
    </w:p>
    <w:p w:rsidR="00CA550E" w:rsidRDefault="00CA550E" w:rsidP="004233B7">
      <w:pPr>
        <w:pStyle w:val="Odstavecseseznamem"/>
        <w:numPr>
          <w:ilvl w:val="1"/>
          <w:numId w:val="3"/>
        </w:numPr>
        <w:spacing w:before="200" w:after="200" w:line="269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Ministerstvo průmyslu a obchodu, aby doplnilo návrh SEK ČR o nástroje k naplňování tohoto usnesení;</w:t>
      </w:r>
    </w:p>
    <w:p w:rsidR="00CA550E" w:rsidRDefault="00CA550E" w:rsidP="004233B7">
      <w:pPr>
        <w:pStyle w:val="Odstavecseseznamem"/>
        <w:numPr>
          <w:ilvl w:val="1"/>
          <w:numId w:val="3"/>
        </w:numPr>
        <w:spacing w:before="200" w:after="200" w:line="269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Ministerstvo průmyslu a obchodu, aby vypracovalo akční plán konkrétních kroků </w:t>
      </w:r>
      <w:r w:rsidR="00E95E46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a opatření pro přechodové období spojené s výstavbou nových především řiditelných zdrojů energie, včetně vyhodnocení možných rizik;</w:t>
      </w:r>
    </w:p>
    <w:p w:rsidR="00CA550E" w:rsidRDefault="00CA550E" w:rsidP="004233B7">
      <w:pPr>
        <w:pStyle w:val="Odstavecseseznamem"/>
        <w:numPr>
          <w:ilvl w:val="1"/>
          <w:numId w:val="3"/>
        </w:numPr>
        <w:spacing w:before="200" w:after="200" w:line="269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Ministerstvo průmyslu a obchodu, Ministerstvo životního prostředí a Ministerstvo pro místní rozvoj navrhnout legislativní úpravu, která výrazně zjednoduší povolovací procesy spojené s výstavbou především nových řiditelných zdrojů energie. </w:t>
      </w:r>
    </w:p>
    <w:p w:rsidR="00CA550E" w:rsidRDefault="00CA550E" w:rsidP="006A5C0F">
      <w:pPr>
        <w:tabs>
          <w:tab w:val="center" w:pos="1418"/>
          <w:tab w:val="center" w:pos="4536"/>
          <w:tab w:val="center" w:pos="7655"/>
        </w:tabs>
        <w:spacing w:before="7800" w:after="0" w:line="269" w:lineRule="auto"/>
        <w:ind w:left="357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ab/>
        <w:t>Vojtěch MUNZAR v.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Ivan ADAMEC</w:t>
      </w:r>
      <w:r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:rsidR="00047CFB" w:rsidRDefault="00CA550E" w:rsidP="004233B7">
      <w:pPr>
        <w:tabs>
          <w:tab w:val="center" w:pos="1418"/>
          <w:tab w:val="center" w:pos="4536"/>
          <w:tab w:val="center" w:pos="7655"/>
        </w:tabs>
        <w:spacing w:after="600" w:line="269" w:lineRule="auto"/>
        <w:ind w:left="360"/>
      </w:pPr>
      <w:r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 výboru</w:t>
      </w:r>
    </w:p>
    <w:sectPr w:rsidR="00047CFB" w:rsidSect="006A5C0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D7A"/>
    <w:multiLevelType w:val="hybridMultilevel"/>
    <w:tmpl w:val="AD1E077C"/>
    <w:lvl w:ilvl="0" w:tplc="E86E7974">
      <w:start w:val="1"/>
      <w:numFmt w:val="upperRoman"/>
      <w:lvlText w:val="%1."/>
      <w:lvlJc w:val="left"/>
      <w:pPr>
        <w:ind w:left="1080" w:hanging="720"/>
      </w:pPr>
      <w:rPr>
        <w:b/>
        <w:spacing w:val="0"/>
      </w:rPr>
    </w:lvl>
    <w:lvl w:ilvl="1" w:tplc="04050005">
      <w:start w:val="1"/>
      <w:numFmt w:val="bullet"/>
      <w:lvlText w:val=""/>
      <w:lvlJc w:val="left"/>
      <w:pPr>
        <w:ind w:left="907" w:hanging="34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2E9"/>
    <w:multiLevelType w:val="hybridMultilevel"/>
    <w:tmpl w:val="A5C2A34A"/>
    <w:lvl w:ilvl="0" w:tplc="E86E7974">
      <w:start w:val="1"/>
      <w:numFmt w:val="upperRoman"/>
      <w:lvlText w:val="%1."/>
      <w:lvlJc w:val="left"/>
      <w:pPr>
        <w:ind w:left="1080" w:hanging="720"/>
      </w:pPr>
      <w:rPr>
        <w:b/>
        <w:spacing w:val="0"/>
      </w:rPr>
    </w:lvl>
    <w:lvl w:ilvl="1" w:tplc="3BE2C646">
      <w:start w:val="1"/>
      <w:numFmt w:val="lowerLetter"/>
      <w:lvlText w:val="%2."/>
      <w:lvlJc w:val="left"/>
      <w:pPr>
        <w:ind w:left="907" w:hanging="34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C5B3D"/>
    <w:multiLevelType w:val="hybridMultilevel"/>
    <w:tmpl w:val="FE6C15C6"/>
    <w:lvl w:ilvl="0" w:tplc="E86E7974">
      <w:start w:val="1"/>
      <w:numFmt w:val="upperRoman"/>
      <w:lvlText w:val="%1."/>
      <w:lvlJc w:val="left"/>
      <w:pPr>
        <w:ind w:left="1080" w:hanging="720"/>
      </w:pPr>
      <w:rPr>
        <w:b/>
        <w:spacing w:val="0"/>
      </w:rPr>
    </w:lvl>
    <w:lvl w:ilvl="1" w:tplc="04050005">
      <w:start w:val="1"/>
      <w:numFmt w:val="bullet"/>
      <w:lvlText w:val=""/>
      <w:lvlJc w:val="left"/>
      <w:pPr>
        <w:ind w:left="907" w:hanging="34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0E"/>
    <w:rsid w:val="0001317E"/>
    <w:rsid w:val="00047CFB"/>
    <w:rsid w:val="00093AC9"/>
    <w:rsid w:val="004233B7"/>
    <w:rsid w:val="005569F8"/>
    <w:rsid w:val="006975D1"/>
    <w:rsid w:val="006A5C0F"/>
    <w:rsid w:val="007B0719"/>
    <w:rsid w:val="008868A7"/>
    <w:rsid w:val="009D076D"/>
    <w:rsid w:val="00CA550E"/>
    <w:rsid w:val="00CE2B8D"/>
    <w:rsid w:val="00E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47EE-D975-4AAE-A12A-C4C7CA1F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50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50E"/>
    <w:pPr>
      <w:ind w:left="720"/>
      <w:contextualSpacing/>
    </w:pPr>
  </w:style>
  <w:style w:type="paragraph" w:customStyle="1" w:styleId="PShlavika1">
    <w:name w:val="PS hlavička 1"/>
    <w:basedOn w:val="Normln"/>
    <w:next w:val="Normln"/>
    <w:qFormat/>
    <w:rsid w:val="00CA550E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customStyle="1" w:styleId="PShlavika2">
    <w:name w:val="PS hlavička 2"/>
    <w:basedOn w:val="Normln"/>
    <w:next w:val="PShlavika1"/>
    <w:qFormat/>
    <w:rsid w:val="00CA550E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A550E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A550E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CA550E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Tůmová</dc:creator>
  <cp:keywords/>
  <dc:description/>
  <cp:lastModifiedBy>Dana Vosátková</cp:lastModifiedBy>
  <cp:revision>2</cp:revision>
  <cp:lastPrinted>2024-05-07T08:55:00Z</cp:lastPrinted>
  <dcterms:created xsi:type="dcterms:W3CDTF">2024-05-07T09:36:00Z</dcterms:created>
  <dcterms:modified xsi:type="dcterms:W3CDTF">2024-05-07T09:36:00Z</dcterms:modified>
</cp:coreProperties>
</file>