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03251" w:rsidP="000E730C">
      <w:pPr>
        <w:pStyle w:val="PS-hlavika2"/>
      </w:pPr>
      <w:r>
        <w:t>202</w:t>
      </w:r>
      <w:r w:rsidR="00C63E0F">
        <w:t>4</w:t>
      </w:r>
    </w:p>
    <w:p w:rsidR="00DC29E4" w:rsidRDefault="00D03251" w:rsidP="00377253">
      <w:pPr>
        <w:pStyle w:val="PS-hlavika1"/>
      </w:pPr>
      <w:r>
        <w:t>9</w:t>
      </w:r>
      <w:r w:rsidR="00DC29E4">
        <w:t>. volební období</w:t>
      </w:r>
    </w:p>
    <w:p w:rsidR="00DC29E4" w:rsidRDefault="00980189" w:rsidP="000E730C">
      <w:pPr>
        <w:pStyle w:val="PS-slousnesen"/>
      </w:pPr>
      <w:r>
        <w:t>328</w:t>
      </w:r>
      <w:r w:rsidR="00656C37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C30D7" w:rsidP="00377253">
      <w:pPr>
        <w:pStyle w:val="PS-hlavika1"/>
      </w:pPr>
      <w:r>
        <w:t>výboru</w:t>
      </w:r>
      <w:r w:rsidR="00136646">
        <w:t xml:space="preserve"> pro evropské záležitosti</w:t>
      </w:r>
    </w:p>
    <w:p w:rsidR="00DC29E4" w:rsidRDefault="00DC29E4" w:rsidP="00377253">
      <w:pPr>
        <w:pStyle w:val="PS-hlavika1"/>
      </w:pPr>
      <w:r>
        <w:t>z</w:t>
      </w:r>
      <w:r w:rsidR="00600147">
        <w:t>e</w:t>
      </w:r>
      <w:r>
        <w:t xml:space="preserve"> </w:t>
      </w:r>
      <w:r w:rsidR="00C94047">
        <w:t>4</w:t>
      </w:r>
      <w:r w:rsidR="00600147">
        <w:t>7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600147">
        <w:t>3</w:t>
      </w:r>
      <w:r>
        <w:t xml:space="preserve">. </w:t>
      </w:r>
      <w:r w:rsidR="00D200A8">
        <w:t>červ</w:t>
      </w:r>
      <w:r w:rsidR="00600147">
        <w:t>ence</w:t>
      </w:r>
      <w:r w:rsidR="00D03251">
        <w:t xml:space="preserve"> 202</w:t>
      </w:r>
      <w:r w:rsidR="00C63E0F">
        <w:t>4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Pr="00136646" w:rsidRDefault="00136646" w:rsidP="00136646">
      <w:pPr>
        <w:pStyle w:val="Bezmezer"/>
      </w:pPr>
    </w:p>
    <w:p w:rsidR="00BA00F3" w:rsidRDefault="00BA00F3" w:rsidP="00A46CDA">
      <w:pPr>
        <w:pStyle w:val="PS-uvodnodstavec"/>
      </w:pPr>
    </w:p>
    <w:p w:rsidR="00600147" w:rsidRPr="00600147" w:rsidRDefault="00A5537F" w:rsidP="00600147">
      <w:pPr>
        <w:pStyle w:val="DefaultText"/>
        <w:pBdr>
          <w:bottom w:val="single" w:sz="4" w:space="1" w:color="auto"/>
        </w:pBdr>
        <w:suppressAutoHyphens w:val="0"/>
        <w:jc w:val="center"/>
      </w:pPr>
      <w:r>
        <w:t>k</w:t>
      </w:r>
      <w:r w:rsidR="00600147">
        <w:t>e</w:t>
      </w:r>
      <w:r>
        <w:t xml:space="preserve"> </w:t>
      </w:r>
      <w:r w:rsidR="00600147" w:rsidRPr="00600147">
        <w:t>Zpráv</w:t>
      </w:r>
      <w:r w:rsidR="00600147">
        <w:t>ě</w:t>
      </w:r>
      <w:r w:rsidR="00600147" w:rsidRPr="00600147">
        <w:t xml:space="preserve"> o Česku 2024 – Doporučení pro doporučení Rady k hospodářské a sociální politice, politice zaměstnanosti a strukturální a rozpočtové politice Česka /kód Rady 11070/24, </w:t>
      </w:r>
      <w:proofErr w:type="gramStart"/>
      <w:r w:rsidR="00600147" w:rsidRPr="00600147">
        <w:t>KOM(</w:t>
      </w:r>
      <w:proofErr w:type="gramEnd"/>
      <w:r w:rsidR="00600147" w:rsidRPr="00600147">
        <w:t>2024) 603 v konečném znění/</w:t>
      </w:r>
    </w:p>
    <w:p w:rsidR="00B23BB8" w:rsidRDefault="00B23BB8" w:rsidP="00FC22B3">
      <w:pPr>
        <w:pStyle w:val="DefaultText"/>
        <w:pBdr>
          <w:bottom w:val="single" w:sz="4" w:space="1" w:color="auto"/>
        </w:pBdr>
        <w:suppressAutoHyphens w:val="0"/>
        <w:jc w:val="center"/>
      </w:pPr>
    </w:p>
    <w:p w:rsidR="00D46ACA" w:rsidRDefault="00D46ACA" w:rsidP="00A46CDA">
      <w:pPr>
        <w:pStyle w:val="PS-uvodnodstavec"/>
      </w:pPr>
    </w:p>
    <w:p w:rsidR="00DC29E4" w:rsidRDefault="00136646" w:rsidP="00A46CDA">
      <w:pPr>
        <w:pStyle w:val="PS-uvodnodstavec"/>
      </w:pPr>
      <w:r>
        <w:t>V</w:t>
      </w:r>
      <w:r w:rsidR="00DC29E4">
        <w:t>ýbor</w:t>
      </w:r>
      <w:r>
        <w:t xml:space="preserve"> pro evropské záležitosti</w:t>
      </w:r>
      <w:r w:rsidR="00DC29E4">
        <w:t xml:space="preserve"> Poslanecké sněmovny Parlamentu ČR po vyslechnutí</w:t>
      </w:r>
      <w:r w:rsidR="00A93982">
        <w:t xml:space="preserve"> informace</w:t>
      </w:r>
      <w:r w:rsidR="00160BDE">
        <w:t xml:space="preserve"> </w:t>
      </w:r>
      <w:r w:rsidR="00160BDE" w:rsidRPr="00160BDE">
        <w:t>vrchní</w:t>
      </w:r>
      <w:r w:rsidR="00160BDE">
        <w:t>ho</w:t>
      </w:r>
      <w:r w:rsidR="00160BDE" w:rsidRPr="00160BDE">
        <w:t xml:space="preserve"> ředitel</w:t>
      </w:r>
      <w:r w:rsidR="00160BDE">
        <w:t xml:space="preserve">e </w:t>
      </w:r>
      <w:r w:rsidR="00160BDE" w:rsidRPr="00160BDE">
        <w:t>Sekce pro evropské záležitosti Úřadu vlády Štěpán</w:t>
      </w:r>
      <w:r w:rsidR="00160BDE">
        <w:t>a</w:t>
      </w:r>
      <w:r w:rsidR="00160BDE" w:rsidRPr="00160BDE">
        <w:t xml:space="preserve"> Čern</w:t>
      </w:r>
      <w:r w:rsidR="00160BDE">
        <w:t>ého</w:t>
      </w:r>
      <w:r w:rsidR="00600147">
        <w:t xml:space="preserve"> a</w:t>
      </w:r>
      <w:r w:rsidR="00160BDE">
        <w:t xml:space="preserve"> </w:t>
      </w:r>
      <w:r w:rsidR="00160BDE" w:rsidRPr="00160BDE">
        <w:t>vrchní</w:t>
      </w:r>
      <w:r w:rsidR="00160BDE">
        <w:t>ho</w:t>
      </w:r>
      <w:r w:rsidR="00160BDE" w:rsidRPr="00160BDE">
        <w:t xml:space="preserve"> ředitel</w:t>
      </w:r>
      <w:r w:rsidR="00160BDE">
        <w:t>e</w:t>
      </w:r>
      <w:r w:rsidR="00160BDE" w:rsidRPr="00160BDE">
        <w:t xml:space="preserve"> sekce</w:t>
      </w:r>
      <w:r w:rsidR="00751019">
        <w:t xml:space="preserve"> Evropská unie a mezinárodní vztahy</w:t>
      </w:r>
      <w:r w:rsidR="00160BDE" w:rsidRPr="00160BDE">
        <w:t xml:space="preserve"> Ministerstva financí</w:t>
      </w:r>
      <w:r w:rsidR="00751019">
        <w:t xml:space="preserve"> Jiřího </w:t>
      </w:r>
      <w:proofErr w:type="spellStart"/>
      <w:r w:rsidR="00751019">
        <w:t>Georgieva</w:t>
      </w:r>
      <w:proofErr w:type="spellEnd"/>
      <w:r w:rsidR="00F65B55">
        <w:t>,</w:t>
      </w:r>
      <w:r>
        <w:t xml:space="preserve"> po vyslechnutí zpravodajské zprávy</w:t>
      </w:r>
      <w:r w:rsidR="00A93982">
        <w:t xml:space="preserve"> posl</w:t>
      </w:r>
      <w:r w:rsidR="00117F06">
        <w:t>ance</w:t>
      </w:r>
      <w:r w:rsidR="00600147">
        <w:t xml:space="preserve"> Ondřeje </w:t>
      </w:r>
      <w:proofErr w:type="spellStart"/>
      <w:r w:rsidR="00600147">
        <w:t>Benešíka</w:t>
      </w:r>
      <w:proofErr w:type="spellEnd"/>
      <w:r w:rsidR="00DC29E4">
        <w:t xml:space="preserve"> a po rozpravě</w:t>
      </w:r>
    </w:p>
    <w:p w:rsidR="00980189" w:rsidRDefault="00980189" w:rsidP="00980189">
      <w:pPr>
        <w:spacing w:after="0" w:line="254" w:lineRule="auto"/>
        <w:ind w:firstLine="708"/>
        <w:jc w:val="both"/>
      </w:pPr>
      <w:r>
        <w:rPr>
          <w:rFonts w:ascii="Times New Roman" w:eastAsia="Times New Roman" w:hAnsi="Times New Roman"/>
          <w:b/>
          <w:color w:val="000000" w:themeColor="text1"/>
          <w:spacing w:val="60"/>
          <w:sz w:val="24"/>
          <w:szCs w:val="24"/>
        </w:rPr>
        <w:t>bere na vědomí</w:t>
      </w:r>
      <w:r>
        <w:rPr>
          <w:rFonts w:ascii="Times New Roman" w:eastAsia="Times New Roman" w:hAnsi="Times New Roman"/>
          <w:color w:val="000000" w:themeColor="text1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0"/>
          <w:lang w:eastAsia="zh-CN" w:bidi="hi-IN"/>
        </w:rPr>
        <w:t xml:space="preserve">Zprávu o Česku 2024 – Doporučení pro doporučení Rady k hospodářské a sociální politice, politice zaměstnanosti a strukturální a rozpočtové politice Česka /kód Rady 11070/24, </w:t>
      </w:r>
      <w:proofErr w:type="gramStart"/>
      <w:r>
        <w:rPr>
          <w:rFonts w:ascii="Times New Roman" w:eastAsia="Times New Roman" w:hAnsi="Times New Roman" w:cs="Calibri"/>
          <w:sz w:val="24"/>
          <w:szCs w:val="20"/>
          <w:lang w:eastAsia="zh-CN" w:bidi="hi-IN"/>
        </w:rPr>
        <w:t>KOM(</w:t>
      </w:r>
      <w:proofErr w:type="gramEnd"/>
      <w:r>
        <w:rPr>
          <w:rFonts w:ascii="Times New Roman" w:eastAsia="Times New Roman" w:hAnsi="Times New Roman" w:cs="Calibri"/>
          <w:sz w:val="24"/>
          <w:szCs w:val="20"/>
          <w:lang w:eastAsia="zh-CN" w:bidi="hi-IN"/>
        </w:rPr>
        <w:t>2024) 603 v konečném znění/.</w:t>
      </w:r>
    </w:p>
    <w:p w:rsidR="00F14096" w:rsidRDefault="00F14096" w:rsidP="00A93982">
      <w:pPr>
        <w:pStyle w:val="PS-slovanseznam"/>
        <w:numPr>
          <w:ilvl w:val="0"/>
          <w:numId w:val="0"/>
        </w:numPr>
      </w:pPr>
    </w:p>
    <w:p w:rsidR="00F14096" w:rsidRDefault="00F14096" w:rsidP="00A93982">
      <w:pPr>
        <w:pStyle w:val="PS-slovanseznam"/>
        <w:numPr>
          <w:ilvl w:val="0"/>
          <w:numId w:val="0"/>
        </w:numPr>
      </w:pPr>
    </w:p>
    <w:p w:rsidR="00F14096" w:rsidRDefault="00F14096" w:rsidP="00A93982">
      <w:pPr>
        <w:pStyle w:val="PS-slovanseznam"/>
        <w:numPr>
          <w:ilvl w:val="0"/>
          <w:numId w:val="0"/>
        </w:numPr>
      </w:pPr>
    </w:p>
    <w:p w:rsidR="00106842" w:rsidRPr="00106842" w:rsidRDefault="00106842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980189">
        <w:rPr>
          <w:rFonts w:ascii="Times New Roman" w:hAnsi="Times New Roman"/>
          <w:sz w:val="24"/>
        </w:rPr>
        <w:t xml:space="preserve">Roman </w:t>
      </w:r>
      <w:proofErr w:type="spellStart"/>
      <w:r w:rsidR="00980189">
        <w:rPr>
          <w:rFonts w:ascii="Times New Roman" w:hAnsi="Times New Roman"/>
          <w:sz w:val="24"/>
        </w:rPr>
        <w:t>Bělor</w:t>
      </w:r>
      <w:proofErr w:type="spellEnd"/>
      <w:r w:rsidR="000926F8">
        <w:rPr>
          <w:rFonts w:ascii="Times New Roman" w:hAnsi="Times New Roman"/>
          <w:sz w:val="24"/>
        </w:rPr>
        <w:t xml:space="preserve"> v. r.</w:t>
      </w:r>
      <w:r w:rsidR="00536D79">
        <w:rPr>
          <w:rFonts w:ascii="Times New Roman" w:hAnsi="Times New Roman"/>
          <w:sz w:val="24"/>
        </w:rPr>
        <w:tab/>
      </w:r>
      <w:r w:rsidR="00536D79">
        <w:rPr>
          <w:rFonts w:ascii="Times New Roman" w:hAnsi="Times New Roman"/>
          <w:sz w:val="24"/>
        </w:rPr>
        <w:tab/>
      </w:r>
      <w:r w:rsidR="00751019">
        <w:rPr>
          <w:rFonts w:ascii="Times New Roman" w:hAnsi="Times New Roman"/>
          <w:sz w:val="24"/>
        </w:rPr>
        <w:t xml:space="preserve">Ondřej </w:t>
      </w:r>
      <w:proofErr w:type="spellStart"/>
      <w:r w:rsidR="00751019">
        <w:rPr>
          <w:rFonts w:ascii="Times New Roman" w:hAnsi="Times New Roman"/>
          <w:sz w:val="24"/>
        </w:rPr>
        <w:t>Benešík</w:t>
      </w:r>
      <w:proofErr w:type="spellEnd"/>
      <w:r w:rsidR="000926F8">
        <w:rPr>
          <w:rFonts w:ascii="Times New Roman" w:hAnsi="Times New Roman"/>
          <w:sz w:val="24"/>
        </w:rPr>
        <w:t xml:space="preserve"> v. r.</w:t>
      </w:r>
      <w:bookmarkStart w:id="0" w:name="_GoBack"/>
      <w:bookmarkEnd w:id="0"/>
    </w:p>
    <w:p w:rsidR="00106842" w:rsidRPr="00106842" w:rsidRDefault="0010684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F14096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  <w:r w:rsidR="00751019">
        <w:rPr>
          <w:rFonts w:ascii="Times New Roman" w:hAnsi="Times New Roman"/>
          <w:sz w:val="24"/>
        </w:rPr>
        <w:t xml:space="preserve"> a předseda</w:t>
      </w:r>
    </w:p>
    <w:p w:rsidR="00106842" w:rsidRPr="00254049" w:rsidRDefault="00106842" w:rsidP="00106842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</w:p>
    <w:p w:rsidR="00D066DF" w:rsidRDefault="00106842" w:rsidP="00751019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  <w:sectPr w:rsidR="00D066DF" w:rsidSect="000C5278">
          <w:foot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</w:p>
    <w:p w:rsidR="003A1DF9" w:rsidRDefault="003A1DF9" w:rsidP="00D066DF">
      <w:pPr>
        <w:spacing w:after="0" w:line="240" w:lineRule="auto"/>
        <w:rPr>
          <w:rFonts w:asciiTheme="minorHAnsi" w:hAnsiTheme="minorHAnsi"/>
        </w:rPr>
      </w:pPr>
      <w:r w:rsidRPr="00D43E93">
        <w:rPr>
          <w:rFonts w:asciiTheme="minorHAnsi" w:hAnsiTheme="minorHAnsi"/>
        </w:rPr>
        <w:lastRenderedPageBreak/>
        <w:t xml:space="preserve"> </w:t>
      </w:r>
      <w:r w:rsidR="00D066DF" w:rsidRPr="00D43E93">
        <w:rPr>
          <w:rFonts w:asciiTheme="minorHAnsi" w:hAnsiTheme="minorHAnsi"/>
        </w:rPr>
        <w:t xml:space="preserve">Příloha k usnesení č. </w:t>
      </w:r>
      <w:r w:rsidR="00980189">
        <w:rPr>
          <w:rFonts w:asciiTheme="minorHAnsi" w:hAnsiTheme="minorHAnsi"/>
        </w:rPr>
        <w:t>328</w:t>
      </w:r>
    </w:p>
    <w:p w:rsidR="00B23BB8" w:rsidRDefault="00B23BB8" w:rsidP="00D066DF">
      <w:pPr>
        <w:spacing w:after="0" w:line="240" w:lineRule="auto"/>
        <w:rPr>
          <w:rFonts w:asciiTheme="minorHAnsi" w:hAnsiTheme="minorHAnsi"/>
        </w:rPr>
      </w:pPr>
    </w:p>
    <w:p w:rsidR="00530C29" w:rsidRPr="008A2F43" w:rsidRDefault="00530C29" w:rsidP="00530C29">
      <w:pPr>
        <w:rPr>
          <w:rFonts w:ascii="Calibri Light" w:hAnsi="Calibri Light" w:cs="Arial"/>
          <w:color w:val="0070C0"/>
        </w:rPr>
      </w:pPr>
      <w:r w:rsidRPr="008A2F43">
        <w:rPr>
          <w:rFonts w:ascii="Calibri Light" w:hAnsi="Calibri Light"/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09403DB8" wp14:editId="008C765E">
                <wp:simplePos x="0" y="0"/>
                <wp:positionH relativeFrom="page">
                  <wp:posOffset>4800600</wp:posOffset>
                </wp:positionH>
                <wp:positionV relativeFrom="margin">
                  <wp:posOffset>108586</wp:posOffset>
                </wp:positionV>
                <wp:extent cx="2240280" cy="1085850"/>
                <wp:effectExtent l="0" t="0" r="7620" b="0"/>
                <wp:wrapNone/>
                <wp:docPr id="6" name="Obdélník s jedním ustřiženým rohe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0280" cy="1085850"/>
                        </a:xfrm>
                        <a:custGeom>
                          <a:avLst/>
                          <a:gdLst>
                            <a:gd name="T0" fmla="*/ 0 w 2240352"/>
                            <a:gd name="T1" fmla="*/ 0 h 9004899"/>
                            <a:gd name="T2" fmla="*/ 1866953 w 2240352"/>
                            <a:gd name="T3" fmla="*/ 0 h 9004899"/>
                            <a:gd name="T4" fmla="*/ 2240352 w 2240352"/>
                            <a:gd name="T5" fmla="*/ 373399 h 9004899"/>
                            <a:gd name="T6" fmla="*/ 2240352 w 2240352"/>
                            <a:gd name="T7" fmla="*/ 9004899 h 9004899"/>
                            <a:gd name="T8" fmla="*/ 0 w 2240352"/>
                            <a:gd name="T9" fmla="*/ 9004899 h 9004899"/>
                            <a:gd name="T10" fmla="*/ 0 w 2240352"/>
                            <a:gd name="T11" fmla="*/ 0 h 90048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40352"/>
                            <a:gd name="T19" fmla="*/ 0 h 9004899"/>
                            <a:gd name="T20" fmla="*/ 2240352 w 2240352"/>
                            <a:gd name="T21" fmla="*/ 9004899 h 9004899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40352" h="9004899">
                              <a:moveTo>
                                <a:pt x="0" y="0"/>
                              </a:moveTo>
                              <a:lnTo>
                                <a:pt x="1866953" y="0"/>
                              </a:lnTo>
                              <a:lnTo>
                                <a:pt x="2240352" y="373399"/>
                              </a:lnTo>
                              <a:lnTo>
                                <a:pt x="2240352" y="9004899"/>
                              </a:lnTo>
                              <a:lnTo>
                                <a:pt x="0" y="9004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0C29" w:rsidRPr="003670F2" w:rsidRDefault="00530C29" w:rsidP="00530C29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530C29" w:rsidRPr="00333C99" w:rsidRDefault="00530C29" w:rsidP="00530C29">
                            <w:pPr>
                              <w:pStyle w:val="ZHLAVTITULKY"/>
                            </w:pPr>
                            <w:r>
                              <w:t>DOKUMENTY EU</w:t>
                            </w:r>
                          </w:p>
                          <w:p w:rsidR="00530C29" w:rsidRPr="0035103C" w:rsidRDefault="00530C29" w:rsidP="00530C29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530C29" w:rsidRPr="0035103C" w:rsidRDefault="00530C29" w:rsidP="00530C29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530C29" w:rsidRPr="0035103C" w:rsidRDefault="00530C29" w:rsidP="00530C29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530C29" w:rsidRPr="0035103C" w:rsidRDefault="00530C29" w:rsidP="00530C29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530C29" w:rsidRPr="0035103C" w:rsidRDefault="00530C29" w:rsidP="00530C29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530C29" w:rsidRPr="00333C99" w:rsidRDefault="00530C29" w:rsidP="00530C29">
                            <w:pPr>
                              <w:pStyle w:val="titulnstranaobsah"/>
                            </w:pPr>
                            <w:r w:rsidRPr="00333C99">
                              <w:t>Obsah:</w:t>
                            </w:r>
                          </w:p>
                          <w:p w:rsidR="00530C29" w:rsidRDefault="00530C29" w:rsidP="00530C29">
                            <w:pPr>
                              <w:rPr>
                                <w:rFonts w:cs="Arial"/>
                                <w:color w:val="C00000"/>
                              </w:rPr>
                            </w:pPr>
                          </w:p>
                          <w:p w:rsidR="00530C29" w:rsidRPr="00163205" w:rsidRDefault="00530C29" w:rsidP="00530C29">
                            <w:pPr>
                              <w:pStyle w:val="Obsah1"/>
                              <w:ind w:right="193"/>
                              <w:rPr>
                                <w:rFonts w:eastAsiaTheme="minorEastAsia" w:cstheme="minorBidi"/>
                                <w:b w:val="0"/>
                                <w:bCs w:val="0"/>
                                <w:noProof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r w:rsidRPr="00163205">
                              <w:rPr>
                                <w:rStyle w:val="Siln"/>
                                <w:bCs/>
                                <w:caps/>
                                <w:color w:val="1F4E79" w:themeColor="accent1" w:themeShade="80"/>
                              </w:rPr>
                              <w:fldChar w:fldCharType="begin"/>
                            </w:r>
                            <w:r w:rsidRPr="00163205">
                              <w:rPr>
                                <w:rStyle w:val="Siln"/>
                                <w:caps/>
                                <w:color w:val="1F4E79" w:themeColor="accent1" w:themeShade="80"/>
                              </w:rPr>
                              <w:instrText xml:space="preserve"> TOC \o "1-1" \h \z \u </w:instrText>
                            </w:r>
                            <w:r w:rsidRPr="00163205">
                              <w:rPr>
                                <w:rStyle w:val="Siln"/>
                                <w:bCs/>
                                <w:caps/>
                                <w:color w:val="1F4E79" w:themeColor="accent1" w:themeShade="80"/>
                              </w:rPr>
                              <w:fldChar w:fldCharType="separate"/>
                            </w:r>
                            <w:hyperlink w:anchor="_Toc448302188" w:history="1">
                              <w:r w:rsidRPr="00163205">
                                <w:rPr>
                                  <w:rStyle w:val="Hypertextovodkaz"/>
                                  <w:rFonts w:ascii="Symbol" w:hAnsi="Symbol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</w:t>
                              </w:r>
                              <w:r w:rsidRPr="00163205"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noProof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163205">
                                <w:rPr>
                                  <w:rStyle w:val="Hypertextovodkaz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Hodnocení z hlediska principu subsidiarity:</w:t>
                              </w:r>
                              <w:r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ab/>
                              </w:r>
                              <w:r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begin"/>
                              </w:r>
                              <w:r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instrText xml:space="preserve"> PAGEREF _Toc448302188 \h </w:instrText>
                              </w:r>
                              <w:r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</w:r>
                              <w:r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separate"/>
                              </w:r>
                              <w:r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>3</w:t>
                              </w:r>
                              <w:r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end"/>
                              </w:r>
                            </w:hyperlink>
                          </w:p>
                          <w:p w:rsidR="00530C29" w:rsidRPr="00163205" w:rsidRDefault="000926F8" w:rsidP="00530C29">
                            <w:pPr>
                              <w:pStyle w:val="Obsah1"/>
                              <w:ind w:right="193"/>
                              <w:rPr>
                                <w:rFonts w:eastAsiaTheme="minorEastAsia" w:cstheme="minorBidi"/>
                                <w:b w:val="0"/>
                                <w:bCs w:val="0"/>
                                <w:noProof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hyperlink w:anchor="_Toc448302189" w:history="1">
                              <w:r w:rsidR="00530C29" w:rsidRPr="00163205">
                                <w:rPr>
                                  <w:rStyle w:val="Hypertextovodkaz"/>
                                  <w:rFonts w:ascii="Symbol" w:hAnsi="Symbol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</w:t>
                              </w:r>
                              <w:r w:rsidR="00530C29" w:rsidRPr="00163205"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noProof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 w:rsidR="00530C29" w:rsidRPr="00163205">
                                <w:rPr>
                                  <w:rStyle w:val="Hypertextovodkaz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Odůvodnění a předmět: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ab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begin"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instrText xml:space="preserve"> PAGEREF _Toc448302189 \h </w:instrTex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separate"/>
                              </w:r>
                              <w:r w:rsidR="00530C29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>3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end"/>
                              </w:r>
                            </w:hyperlink>
                          </w:p>
                          <w:p w:rsidR="00530C29" w:rsidRPr="00163205" w:rsidRDefault="000926F8" w:rsidP="00530C29">
                            <w:pPr>
                              <w:pStyle w:val="Obsah1"/>
                              <w:ind w:right="193"/>
                              <w:rPr>
                                <w:rFonts w:eastAsiaTheme="minorEastAsia" w:cstheme="minorBidi"/>
                                <w:b w:val="0"/>
                                <w:bCs w:val="0"/>
                                <w:noProof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hyperlink w:anchor="_Toc448302190" w:history="1">
                              <w:r w:rsidR="00530C29" w:rsidRPr="00163205">
                                <w:rPr>
                                  <w:rStyle w:val="Hypertextovodkaz"/>
                                  <w:rFonts w:ascii="Symbol" w:hAnsi="Symbol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</w:t>
                              </w:r>
                              <w:r w:rsidR="00530C29" w:rsidRPr="00163205"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noProof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 w:rsidR="00530C29" w:rsidRPr="00163205">
                                <w:rPr>
                                  <w:rStyle w:val="Hypertextovodkaz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Obsah a dopad: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ab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begin"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instrText xml:space="preserve"> PAGEREF _Toc448302190 \h </w:instrTex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separate"/>
                              </w:r>
                              <w:r w:rsidR="00530C29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>3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end"/>
                              </w:r>
                            </w:hyperlink>
                          </w:p>
                          <w:p w:rsidR="00530C29" w:rsidRPr="00163205" w:rsidRDefault="000926F8" w:rsidP="00530C29">
                            <w:pPr>
                              <w:pStyle w:val="Obsah1"/>
                              <w:ind w:right="193"/>
                              <w:rPr>
                                <w:rFonts w:eastAsiaTheme="minorEastAsia" w:cstheme="minorBidi"/>
                                <w:b w:val="0"/>
                                <w:bCs w:val="0"/>
                                <w:noProof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hyperlink w:anchor="_Toc448302191" w:history="1">
                              <w:r w:rsidR="00530C29" w:rsidRPr="00163205">
                                <w:rPr>
                                  <w:rStyle w:val="Hypertextovodkaz"/>
                                  <w:rFonts w:ascii="Symbol" w:hAnsi="Symbol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</w:t>
                              </w:r>
                              <w:r w:rsidR="00530C29" w:rsidRPr="00163205"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noProof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 w:rsidR="00530C29" w:rsidRPr="00163205">
                                <w:rPr>
                                  <w:rStyle w:val="Hypertextovodkaz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Stanovisko vlády ČR: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ab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begin"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instrText xml:space="preserve"> PAGEREF _Toc448302191 \h </w:instrTex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separate"/>
                              </w:r>
                              <w:r w:rsidR="00530C29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>3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end"/>
                              </w:r>
                            </w:hyperlink>
                          </w:p>
                          <w:p w:rsidR="00530C29" w:rsidRPr="00163205" w:rsidRDefault="000926F8" w:rsidP="00530C29">
                            <w:pPr>
                              <w:pStyle w:val="Obsah1"/>
                              <w:ind w:right="193"/>
                              <w:rPr>
                                <w:rFonts w:eastAsiaTheme="minorEastAsia" w:cstheme="minorBidi"/>
                                <w:b w:val="0"/>
                                <w:bCs w:val="0"/>
                                <w:noProof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hyperlink w:anchor="_Toc448302192" w:history="1">
                              <w:r w:rsidR="00530C29" w:rsidRPr="00163205">
                                <w:rPr>
                                  <w:rStyle w:val="Hypertextovodkaz"/>
                                  <w:rFonts w:ascii="Symbol" w:hAnsi="Symbol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</w:t>
                              </w:r>
                              <w:r w:rsidR="00530C29" w:rsidRPr="00163205"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noProof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 w:rsidR="00530C29" w:rsidRPr="00163205">
                                <w:rPr>
                                  <w:rStyle w:val="Hypertextovodkaz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Předpokládaný harmonogram projednávání v orgánech EU: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ab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begin"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instrText xml:space="preserve"> PAGEREF _Toc448302192 \h </w:instrTex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separate"/>
                              </w:r>
                              <w:r w:rsidR="00530C29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>3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end"/>
                              </w:r>
                            </w:hyperlink>
                          </w:p>
                          <w:p w:rsidR="00530C29" w:rsidRPr="00163205" w:rsidRDefault="000926F8" w:rsidP="00530C29">
                            <w:pPr>
                              <w:pStyle w:val="Obsah1"/>
                              <w:ind w:right="193"/>
                              <w:rPr>
                                <w:rFonts w:eastAsiaTheme="minorEastAsia" w:cstheme="minorBidi"/>
                                <w:b w:val="0"/>
                                <w:bCs w:val="0"/>
                                <w:noProof/>
                                <w:color w:val="1F4E79" w:themeColor="accent1" w:themeShade="80"/>
                                <w:sz w:val="22"/>
                                <w:szCs w:val="22"/>
                              </w:rPr>
                            </w:pPr>
                            <w:hyperlink w:anchor="_Toc448302193" w:history="1">
                              <w:r w:rsidR="00530C29" w:rsidRPr="00163205">
                                <w:rPr>
                                  <w:rStyle w:val="Hypertextovodkaz"/>
                                  <w:rFonts w:ascii="Symbol" w:hAnsi="Symbol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</w:t>
                              </w:r>
                              <w:r w:rsidR="00530C29" w:rsidRPr="00163205"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noProof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 w:rsidR="00530C29" w:rsidRPr="00163205">
                                <w:rPr>
                                  <w:rStyle w:val="Hypertextovodkaz"/>
                                  <w:b w:val="0"/>
                                  <w:noProof/>
                                  <w:color w:val="1F4E79" w:themeColor="accent1" w:themeShade="80"/>
                                </w:rPr>
                                <w:t>Závěr: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ab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begin"/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instrText xml:space="preserve"> PAGEREF _Toc448302193 \h </w:instrTex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separate"/>
                              </w:r>
                              <w:r w:rsidR="00530C29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t>4</w:t>
                              </w:r>
                              <w:r w:rsidR="00530C29" w:rsidRPr="00163205">
                                <w:rPr>
                                  <w:b w:val="0"/>
                                  <w:noProof/>
                                  <w:webHidden/>
                                  <w:color w:val="1F4E79" w:themeColor="accent1" w:themeShade="80"/>
                                </w:rPr>
                                <w:fldChar w:fldCharType="end"/>
                              </w:r>
                            </w:hyperlink>
                          </w:p>
                          <w:p w:rsidR="00530C29" w:rsidRPr="007A5C9D" w:rsidRDefault="00530C29" w:rsidP="00530C29">
                            <w:pPr>
                              <w:pStyle w:val="Obsah1"/>
                              <w:ind w:left="284" w:right="193" w:hanging="284"/>
                              <w:rPr>
                                <w:rFonts w:eastAsiaTheme="minorEastAsia" w:cstheme="minorBidi"/>
                                <w:caps/>
                                <w:noProof/>
                                <w:sz w:val="22"/>
                                <w:szCs w:val="22"/>
                              </w:rPr>
                            </w:pPr>
                            <w:r w:rsidRPr="00163205">
                              <w:rPr>
                                <w:rStyle w:val="Siln"/>
                                <w:bCs/>
                                <w:caps/>
                                <w:color w:val="1F4E79" w:themeColor="accent1" w:themeShade="80"/>
                              </w:rPr>
                              <w:fldChar w:fldCharType="end"/>
                            </w:r>
                            <w:r w:rsidRPr="007A5C9D">
                              <w:rPr>
                                <w:caps/>
                                <w:noProof/>
                              </w:rPr>
                              <w:fldChar w:fldCharType="begin"/>
                            </w:r>
                            <w:r w:rsidRPr="007A5C9D">
                              <w:instrText xml:space="preserve"> TOC \o "1-3" \h \z \u </w:instrText>
                            </w:r>
                            <w:r w:rsidRPr="007A5C9D">
                              <w:rPr>
                                <w:caps/>
                                <w:noProof/>
                              </w:rPr>
                              <w:fldChar w:fldCharType="separate"/>
                            </w:r>
                          </w:p>
                          <w:p w:rsidR="00530C29" w:rsidRPr="0035103C" w:rsidRDefault="00530C29" w:rsidP="00530C29">
                            <w:pPr>
                              <w:tabs>
                                <w:tab w:val="center" w:pos="2835"/>
                                <w:tab w:val="center" w:pos="2977"/>
                              </w:tabs>
                              <w:ind w:left="284" w:right="193" w:hanging="284"/>
                              <w:rPr>
                                <w:rFonts w:cs="Arial"/>
                                <w:color w:val="C00000"/>
                              </w:rPr>
                            </w:pPr>
                            <w:r w:rsidRPr="007A5C9D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22860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3DB8" id="Obdélník s jedním ustřiženým rohem 118" o:spid="_x0000_s1026" style="position:absolute;margin-left:378pt;margin-top:8.55pt;width:176.4pt;height:85.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240352,90048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" adj="-11796480,,5400" path="m,l1866953,r373399,373399l2240352,9004899,,9004899,,xe" filled="f" stroked="f">
                <v:stroke joinstyle="miter"/>
                <v:formulas/>
                <v:path arrowok="t" o:connecttype="custom" o:connectlocs="0,0;1866893,0;2240280,45026;2240280,1085850;0,1085850;0,0" o:connectangles="0,0,0,0,0,0" textboxrect="0,0,2240352,9004899"/>
                <v:textbox inset="18pt,7.2pt,0,7.2pt">
                  <w:txbxContent>
                    <w:p w:rsidR="00530C29" w:rsidRPr="003670F2" w:rsidRDefault="00530C29" w:rsidP="00530C29">
                      <w:pPr>
                        <w:rPr>
                          <w:color w:val="C00000"/>
                        </w:rPr>
                      </w:pPr>
                    </w:p>
                    <w:p w:rsidR="00530C29" w:rsidRPr="00333C99" w:rsidRDefault="00530C29" w:rsidP="00530C29">
                      <w:pPr>
                        <w:pStyle w:val="ZHLAVTITULKY"/>
                      </w:pPr>
                      <w:r>
                        <w:t>DOKUMENTY EU</w:t>
                      </w:r>
                    </w:p>
                    <w:p w:rsidR="00530C29" w:rsidRPr="0035103C" w:rsidRDefault="00530C29" w:rsidP="00530C29">
                      <w:pPr>
                        <w:rPr>
                          <w:color w:val="C00000"/>
                        </w:rPr>
                      </w:pPr>
                    </w:p>
                    <w:p w:rsidR="00530C29" w:rsidRPr="0035103C" w:rsidRDefault="00530C29" w:rsidP="00530C29">
                      <w:pPr>
                        <w:rPr>
                          <w:color w:val="C00000"/>
                        </w:rPr>
                      </w:pPr>
                    </w:p>
                    <w:p w:rsidR="00530C29" w:rsidRPr="0035103C" w:rsidRDefault="00530C29" w:rsidP="00530C29">
                      <w:pPr>
                        <w:rPr>
                          <w:color w:val="C00000"/>
                        </w:rPr>
                      </w:pPr>
                    </w:p>
                    <w:p w:rsidR="00530C29" w:rsidRPr="0035103C" w:rsidRDefault="00530C29" w:rsidP="00530C29">
                      <w:pPr>
                        <w:rPr>
                          <w:color w:val="C00000"/>
                        </w:rPr>
                      </w:pPr>
                    </w:p>
                    <w:p w:rsidR="00530C29" w:rsidRPr="0035103C" w:rsidRDefault="00530C29" w:rsidP="00530C29">
                      <w:pPr>
                        <w:rPr>
                          <w:color w:val="C00000"/>
                        </w:rPr>
                      </w:pPr>
                    </w:p>
                    <w:p w:rsidR="00530C29" w:rsidRPr="00333C99" w:rsidRDefault="00530C29" w:rsidP="00530C29">
                      <w:pPr>
                        <w:pStyle w:val="titulnstranaobsah"/>
                      </w:pPr>
                      <w:r w:rsidRPr="00333C99">
                        <w:t>Obsah:</w:t>
                      </w:r>
                    </w:p>
                    <w:p w:rsidR="00530C29" w:rsidRDefault="00530C29" w:rsidP="00530C29">
                      <w:pPr>
                        <w:rPr>
                          <w:rFonts w:cs="Arial"/>
                          <w:color w:val="C00000"/>
                        </w:rPr>
                      </w:pPr>
                    </w:p>
                    <w:p w:rsidR="00530C29" w:rsidRPr="00163205" w:rsidRDefault="00530C29" w:rsidP="00530C29">
                      <w:pPr>
                        <w:pStyle w:val="Obsah1"/>
                        <w:ind w:right="193"/>
                        <w:rPr>
                          <w:rFonts w:eastAsiaTheme="minorEastAsia" w:cstheme="minorBidi"/>
                          <w:b w:val="0"/>
                          <w:bCs w:val="0"/>
                          <w:noProof/>
                          <w:color w:val="1F4E79" w:themeColor="accent1" w:themeShade="80"/>
                          <w:sz w:val="22"/>
                          <w:szCs w:val="22"/>
                        </w:rPr>
                      </w:pPr>
                      <w:r w:rsidRPr="00163205">
                        <w:rPr>
                          <w:rStyle w:val="Siln"/>
                          <w:bCs/>
                          <w:caps/>
                          <w:color w:val="1F4E79" w:themeColor="accent1" w:themeShade="80"/>
                        </w:rPr>
                        <w:fldChar w:fldCharType="begin"/>
                      </w:r>
                      <w:r w:rsidRPr="00163205">
                        <w:rPr>
                          <w:rStyle w:val="Siln"/>
                          <w:caps/>
                          <w:color w:val="1F4E79" w:themeColor="accent1" w:themeShade="80"/>
                        </w:rPr>
                        <w:instrText xml:space="preserve"> TOC \o "1-1" \h \z \u </w:instrText>
                      </w:r>
                      <w:r w:rsidRPr="00163205">
                        <w:rPr>
                          <w:rStyle w:val="Siln"/>
                          <w:bCs/>
                          <w:caps/>
                          <w:color w:val="1F4E79" w:themeColor="accent1" w:themeShade="80"/>
                        </w:rPr>
                        <w:fldChar w:fldCharType="separate"/>
                      </w:r>
                      <w:hyperlink w:anchor="_Toc448302188" w:history="1">
                        <w:r w:rsidRPr="00163205">
                          <w:rPr>
                            <w:rStyle w:val="Hypertextovodkaz"/>
                            <w:rFonts w:ascii="Symbol" w:hAnsi="Symbol"/>
                            <w:b w:val="0"/>
                            <w:noProof/>
                            <w:color w:val="1F4E79" w:themeColor="accent1" w:themeShade="80"/>
                          </w:rPr>
                          <w:t></w:t>
                        </w:r>
                        <w:r w:rsidRPr="00163205">
                          <w:rPr>
                            <w:rFonts w:eastAsiaTheme="minorEastAsia" w:cstheme="minorBidi"/>
                            <w:b w:val="0"/>
                            <w:bCs w:val="0"/>
                            <w:noProof/>
                            <w:color w:val="1F4E79" w:themeColor="accent1" w:themeShade="80"/>
                            <w:sz w:val="22"/>
                            <w:szCs w:val="22"/>
                          </w:rPr>
                          <w:tab/>
                        </w:r>
                        <w:r w:rsidRPr="00163205">
                          <w:rPr>
                            <w:rStyle w:val="Hypertextovodkaz"/>
                            <w:b w:val="0"/>
                            <w:noProof/>
                            <w:color w:val="1F4E79" w:themeColor="accent1" w:themeShade="80"/>
                          </w:rPr>
                          <w:t>Hodnocení z hlediska principu subsidiarity:</w:t>
                        </w:r>
                        <w:r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ab/>
                        </w:r>
                        <w:r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begin"/>
                        </w:r>
                        <w:r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instrText xml:space="preserve"> PAGEREF _Toc448302188 \h </w:instrText>
                        </w:r>
                        <w:r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</w:r>
                        <w:r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>3</w:t>
                        </w:r>
                        <w:r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end"/>
                        </w:r>
                      </w:hyperlink>
                    </w:p>
                    <w:p w:rsidR="00530C29" w:rsidRPr="00163205" w:rsidRDefault="000926F8" w:rsidP="00530C29">
                      <w:pPr>
                        <w:pStyle w:val="Obsah1"/>
                        <w:ind w:right="193"/>
                        <w:rPr>
                          <w:rFonts w:eastAsiaTheme="minorEastAsia" w:cstheme="minorBidi"/>
                          <w:b w:val="0"/>
                          <w:bCs w:val="0"/>
                          <w:noProof/>
                          <w:color w:val="1F4E79" w:themeColor="accent1" w:themeShade="80"/>
                          <w:sz w:val="22"/>
                          <w:szCs w:val="22"/>
                        </w:rPr>
                      </w:pPr>
                      <w:hyperlink w:anchor="_Toc448302189" w:history="1">
                        <w:r w:rsidR="00530C29" w:rsidRPr="00163205">
                          <w:rPr>
                            <w:rStyle w:val="Hypertextovodkaz"/>
                            <w:rFonts w:ascii="Symbol" w:hAnsi="Symbol"/>
                            <w:b w:val="0"/>
                            <w:noProof/>
                            <w:color w:val="1F4E79" w:themeColor="accent1" w:themeShade="80"/>
                          </w:rPr>
                          <w:t></w:t>
                        </w:r>
                        <w:r w:rsidR="00530C29" w:rsidRPr="00163205">
                          <w:rPr>
                            <w:rFonts w:eastAsiaTheme="minorEastAsia" w:cstheme="minorBidi"/>
                            <w:b w:val="0"/>
                            <w:bCs w:val="0"/>
                            <w:noProof/>
                            <w:color w:val="1F4E79" w:themeColor="accent1" w:themeShade="80"/>
                            <w:sz w:val="22"/>
                            <w:szCs w:val="22"/>
                          </w:rPr>
                          <w:tab/>
                        </w:r>
                        <w:r w:rsidR="00530C29" w:rsidRPr="00163205">
                          <w:rPr>
                            <w:rStyle w:val="Hypertextovodkaz"/>
                            <w:b w:val="0"/>
                            <w:noProof/>
                            <w:color w:val="1F4E79" w:themeColor="accent1" w:themeShade="80"/>
                          </w:rPr>
                          <w:t>Odůvodnění a předmět: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ab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begin"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instrText xml:space="preserve"> PAGEREF _Toc448302189 \h </w:instrTex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separate"/>
                        </w:r>
                        <w:r w:rsidR="00530C29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>3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end"/>
                        </w:r>
                      </w:hyperlink>
                    </w:p>
                    <w:p w:rsidR="00530C29" w:rsidRPr="00163205" w:rsidRDefault="000926F8" w:rsidP="00530C29">
                      <w:pPr>
                        <w:pStyle w:val="Obsah1"/>
                        <w:ind w:right="193"/>
                        <w:rPr>
                          <w:rFonts w:eastAsiaTheme="minorEastAsia" w:cstheme="minorBidi"/>
                          <w:b w:val="0"/>
                          <w:bCs w:val="0"/>
                          <w:noProof/>
                          <w:color w:val="1F4E79" w:themeColor="accent1" w:themeShade="80"/>
                          <w:sz w:val="22"/>
                          <w:szCs w:val="22"/>
                        </w:rPr>
                      </w:pPr>
                      <w:hyperlink w:anchor="_Toc448302190" w:history="1">
                        <w:r w:rsidR="00530C29" w:rsidRPr="00163205">
                          <w:rPr>
                            <w:rStyle w:val="Hypertextovodkaz"/>
                            <w:rFonts w:ascii="Symbol" w:hAnsi="Symbol"/>
                            <w:b w:val="0"/>
                            <w:noProof/>
                            <w:color w:val="1F4E79" w:themeColor="accent1" w:themeShade="80"/>
                          </w:rPr>
                          <w:t></w:t>
                        </w:r>
                        <w:r w:rsidR="00530C29" w:rsidRPr="00163205">
                          <w:rPr>
                            <w:rFonts w:eastAsiaTheme="minorEastAsia" w:cstheme="minorBidi"/>
                            <w:b w:val="0"/>
                            <w:bCs w:val="0"/>
                            <w:noProof/>
                            <w:color w:val="1F4E79" w:themeColor="accent1" w:themeShade="80"/>
                            <w:sz w:val="22"/>
                            <w:szCs w:val="22"/>
                          </w:rPr>
                          <w:tab/>
                        </w:r>
                        <w:r w:rsidR="00530C29" w:rsidRPr="00163205">
                          <w:rPr>
                            <w:rStyle w:val="Hypertextovodkaz"/>
                            <w:b w:val="0"/>
                            <w:noProof/>
                            <w:color w:val="1F4E79" w:themeColor="accent1" w:themeShade="80"/>
                          </w:rPr>
                          <w:t>Obsah a dopad: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ab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begin"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instrText xml:space="preserve"> PAGEREF _Toc448302190 \h </w:instrTex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separate"/>
                        </w:r>
                        <w:r w:rsidR="00530C29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>3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end"/>
                        </w:r>
                      </w:hyperlink>
                    </w:p>
                    <w:p w:rsidR="00530C29" w:rsidRPr="00163205" w:rsidRDefault="000926F8" w:rsidP="00530C29">
                      <w:pPr>
                        <w:pStyle w:val="Obsah1"/>
                        <w:ind w:right="193"/>
                        <w:rPr>
                          <w:rFonts w:eastAsiaTheme="minorEastAsia" w:cstheme="minorBidi"/>
                          <w:b w:val="0"/>
                          <w:bCs w:val="0"/>
                          <w:noProof/>
                          <w:color w:val="1F4E79" w:themeColor="accent1" w:themeShade="80"/>
                          <w:sz w:val="22"/>
                          <w:szCs w:val="22"/>
                        </w:rPr>
                      </w:pPr>
                      <w:hyperlink w:anchor="_Toc448302191" w:history="1">
                        <w:r w:rsidR="00530C29" w:rsidRPr="00163205">
                          <w:rPr>
                            <w:rStyle w:val="Hypertextovodkaz"/>
                            <w:rFonts w:ascii="Symbol" w:hAnsi="Symbol"/>
                            <w:b w:val="0"/>
                            <w:noProof/>
                            <w:color w:val="1F4E79" w:themeColor="accent1" w:themeShade="80"/>
                          </w:rPr>
                          <w:t></w:t>
                        </w:r>
                        <w:r w:rsidR="00530C29" w:rsidRPr="00163205">
                          <w:rPr>
                            <w:rFonts w:eastAsiaTheme="minorEastAsia" w:cstheme="minorBidi"/>
                            <w:b w:val="0"/>
                            <w:bCs w:val="0"/>
                            <w:noProof/>
                            <w:color w:val="1F4E79" w:themeColor="accent1" w:themeShade="80"/>
                            <w:sz w:val="22"/>
                            <w:szCs w:val="22"/>
                          </w:rPr>
                          <w:tab/>
                        </w:r>
                        <w:r w:rsidR="00530C29" w:rsidRPr="00163205">
                          <w:rPr>
                            <w:rStyle w:val="Hypertextovodkaz"/>
                            <w:b w:val="0"/>
                            <w:noProof/>
                            <w:color w:val="1F4E79" w:themeColor="accent1" w:themeShade="80"/>
                          </w:rPr>
                          <w:t>Stanovisko vlády ČR: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ab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begin"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instrText xml:space="preserve"> PAGEREF _Toc448302191 \h </w:instrTex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separate"/>
                        </w:r>
                        <w:r w:rsidR="00530C29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>3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end"/>
                        </w:r>
                      </w:hyperlink>
                    </w:p>
                    <w:p w:rsidR="00530C29" w:rsidRPr="00163205" w:rsidRDefault="000926F8" w:rsidP="00530C29">
                      <w:pPr>
                        <w:pStyle w:val="Obsah1"/>
                        <w:ind w:right="193"/>
                        <w:rPr>
                          <w:rFonts w:eastAsiaTheme="minorEastAsia" w:cstheme="minorBidi"/>
                          <w:b w:val="0"/>
                          <w:bCs w:val="0"/>
                          <w:noProof/>
                          <w:color w:val="1F4E79" w:themeColor="accent1" w:themeShade="80"/>
                          <w:sz w:val="22"/>
                          <w:szCs w:val="22"/>
                        </w:rPr>
                      </w:pPr>
                      <w:hyperlink w:anchor="_Toc448302192" w:history="1">
                        <w:r w:rsidR="00530C29" w:rsidRPr="00163205">
                          <w:rPr>
                            <w:rStyle w:val="Hypertextovodkaz"/>
                            <w:rFonts w:ascii="Symbol" w:hAnsi="Symbol"/>
                            <w:b w:val="0"/>
                            <w:noProof/>
                            <w:color w:val="1F4E79" w:themeColor="accent1" w:themeShade="80"/>
                          </w:rPr>
                          <w:t></w:t>
                        </w:r>
                        <w:r w:rsidR="00530C29" w:rsidRPr="00163205">
                          <w:rPr>
                            <w:rFonts w:eastAsiaTheme="minorEastAsia" w:cstheme="minorBidi"/>
                            <w:b w:val="0"/>
                            <w:bCs w:val="0"/>
                            <w:noProof/>
                            <w:color w:val="1F4E79" w:themeColor="accent1" w:themeShade="80"/>
                            <w:sz w:val="22"/>
                            <w:szCs w:val="22"/>
                          </w:rPr>
                          <w:tab/>
                        </w:r>
                        <w:r w:rsidR="00530C29" w:rsidRPr="00163205">
                          <w:rPr>
                            <w:rStyle w:val="Hypertextovodkaz"/>
                            <w:b w:val="0"/>
                            <w:noProof/>
                            <w:color w:val="1F4E79" w:themeColor="accent1" w:themeShade="80"/>
                          </w:rPr>
                          <w:t>Předpokládaný harmonogram projednávání v orgánech EU: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ab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begin"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instrText xml:space="preserve"> PAGEREF _Toc448302192 \h </w:instrTex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separate"/>
                        </w:r>
                        <w:r w:rsidR="00530C29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>3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end"/>
                        </w:r>
                      </w:hyperlink>
                    </w:p>
                    <w:p w:rsidR="00530C29" w:rsidRPr="00163205" w:rsidRDefault="000926F8" w:rsidP="00530C29">
                      <w:pPr>
                        <w:pStyle w:val="Obsah1"/>
                        <w:ind w:right="193"/>
                        <w:rPr>
                          <w:rFonts w:eastAsiaTheme="minorEastAsia" w:cstheme="minorBidi"/>
                          <w:b w:val="0"/>
                          <w:bCs w:val="0"/>
                          <w:noProof/>
                          <w:color w:val="1F4E79" w:themeColor="accent1" w:themeShade="80"/>
                          <w:sz w:val="22"/>
                          <w:szCs w:val="22"/>
                        </w:rPr>
                      </w:pPr>
                      <w:hyperlink w:anchor="_Toc448302193" w:history="1">
                        <w:r w:rsidR="00530C29" w:rsidRPr="00163205">
                          <w:rPr>
                            <w:rStyle w:val="Hypertextovodkaz"/>
                            <w:rFonts w:ascii="Symbol" w:hAnsi="Symbol"/>
                            <w:b w:val="0"/>
                            <w:noProof/>
                            <w:color w:val="1F4E79" w:themeColor="accent1" w:themeShade="80"/>
                          </w:rPr>
                          <w:t></w:t>
                        </w:r>
                        <w:r w:rsidR="00530C29" w:rsidRPr="00163205">
                          <w:rPr>
                            <w:rFonts w:eastAsiaTheme="minorEastAsia" w:cstheme="minorBidi"/>
                            <w:b w:val="0"/>
                            <w:bCs w:val="0"/>
                            <w:noProof/>
                            <w:color w:val="1F4E79" w:themeColor="accent1" w:themeShade="80"/>
                            <w:sz w:val="22"/>
                            <w:szCs w:val="22"/>
                          </w:rPr>
                          <w:tab/>
                        </w:r>
                        <w:r w:rsidR="00530C29" w:rsidRPr="00163205">
                          <w:rPr>
                            <w:rStyle w:val="Hypertextovodkaz"/>
                            <w:b w:val="0"/>
                            <w:noProof/>
                            <w:color w:val="1F4E79" w:themeColor="accent1" w:themeShade="80"/>
                          </w:rPr>
                          <w:t>Závěr: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ab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begin"/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instrText xml:space="preserve"> PAGEREF _Toc448302193 \h </w:instrTex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separate"/>
                        </w:r>
                        <w:r w:rsidR="00530C29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t>4</w:t>
                        </w:r>
                        <w:r w:rsidR="00530C29" w:rsidRPr="00163205">
                          <w:rPr>
                            <w:b w:val="0"/>
                            <w:noProof/>
                            <w:webHidden/>
                            <w:color w:val="1F4E79" w:themeColor="accent1" w:themeShade="80"/>
                          </w:rPr>
                          <w:fldChar w:fldCharType="end"/>
                        </w:r>
                      </w:hyperlink>
                    </w:p>
                    <w:p w:rsidR="00530C29" w:rsidRPr="007A5C9D" w:rsidRDefault="00530C29" w:rsidP="00530C29">
                      <w:pPr>
                        <w:pStyle w:val="Obsah1"/>
                        <w:ind w:left="284" w:right="193" w:hanging="284"/>
                        <w:rPr>
                          <w:rFonts w:eastAsiaTheme="minorEastAsia" w:cstheme="minorBidi"/>
                          <w:caps/>
                          <w:noProof/>
                          <w:sz w:val="22"/>
                          <w:szCs w:val="22"/>
                        </w:rPr>
                      </w:pPr>
                      <w:r w:rsidRPr="00163205">
                        <w:rPr>
                          <w:rStyle w:val="Siln"/>
                          <w:bCs/>
                          <w:caps/>
                          <w:color w:val="1F4E79" w:themeColor="accent1" w:themeShade="80"/>
                        </w:rPr>
                        <w:fldChar w:fldCharType="end"/>
                      </w:r>
                      <w:r w:rsidRPr="007A5C9D">
                        <w:rPr>
                          <w:caps/>
                          <w:noProof/>
                        </w:rPr>
                        <w:fldChar w:fldCharType="begin"/>
                      </w:r>
                      <w:r w:rsidRPr="007A5C9D">
                        <w:instrText xml:space="preserve"> TOC \o "1-3" \h \z \u </w:instrText>
                      </w:r>
                      <w:r w:rsidRPr="007A5C9D">
                        <w:rPr>
                          <w:caps/>
                          <w:noProof/>
                        </w:rPr>
                        <w:fldChar w:fldCharType="separate"/>
                      </w:r>
                    </w:p>
                    <w:p w:rsidR="00530C29" w:rsidRPr="0035103C" w:rsidRDefault="00530C29" w:rsidP="00530C29">
                      <w:pPr>
                        <w:tabs>
                          <w:tab w:val="center" w:pos="2835"/>
                          <w:tab w:val="center" w:pos="2977"/>
                        </w:tabs>
                        <w:ind w:left="284" w:right="193" w:hanging="284"/>
                        <w:rPr>
                          <w:rFonts w:cs="Arial"/>
                          <w:color w:val="C00000"/>
                        </w:rPr>
                      </w:pPr>
                      <w:r w:rsidRPr="007A5C9D">
                        <w:rPr>
                          <w:b/>
                          <w:bCs/>
                          <w:color w:val="1F4E79" w:themeColor="accent1" w:themeShade="80"/>
                        </w:rPr>
                        <w:fldChar w:fldCharType="end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8A2F43">
        <w:rPr>
          <w:rFonts w:ascii="Calibri Light" w:hAnsi="Calibri Light" w:cs="Arial"/>
          <w:noProof/>
          <w:color w:val="0070C0"/>
        </w:rPr>
        <w:drawing>
          <wp:inline distT="0" distB="0" distL="0" distR="0" wp14:anchorId="27A5A24E" wp14:editId="18505FFC">
            <wp:extent cx="6210935" cy="108712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43">
        <w:rPr>
          <w:rFonts w:ascii="Calibri Light" w:hAnsi="Calibri Light" w:cs="Arial"/>
          <w:noProof/>
          <w:color w:val="0070C0"/>
        </w:rPr>
        <w:drawing>
          <wp:inline distT="0" distB="0" distL="0" distR="0" wp14:anchorId="5E7EF6C3" wp14:editId="47CD7F7A">
            <wp:extent cx="6210935" cy="69215"/>
            <wp:effectExtent l="0" t="0" r="0" b="0"/>
            <wp:docPr id="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43">
        <w:rPr>
          <w:rFonts w:ascii="Calibri Light" w:hAnsi="Calibri Light" w:cs="Arial"/>
          <w:color w:val="0070C0"/>
        </w:rPr>
        <w:tab/>
      </w:r>
      <w:r w:rsidRPr="008A2F43">
        <w:rPr>
          <w:rFonts w:ascii="Calibri Light" w:hAnsi="Calibri Light" w:cs="Arial"/>
          <w:color w:val="0070C0"/>
        </w:rPr>
        <w:tab/>
      </w:r>
      <w:r w:rsidRPr="008A2F43">
        <w:rPr>
          <w:rFonts w:ascii="Calibri Light" w:hAnsi="Calibri Light" w:cs="Arial"/>
          <w:color w:val="0070C0"/>
        </w:rPr>
        <w:tab/>
      </w:r>
    </w:p>
    <w:tbl>
      <w:tblPr>
        <w:tblW w:w="9522" w:type="dxa"/>
        <w:tblLayout w:type="fixed"/>
        <w:tblLook w:val="04A0" w:firstRow="1" w:lastRow="0" w:firstColumn="1" w:lastColumn="0" w:noHBand="0" w:noVBand="1"/>
      </w:tblPr>
      <w:tblGrid>
        <w:gridCol w:w="9522"/>
      </w:tblGrid>
      <w:tr w:rsidR="00530C29" w:rsidRPr="008A2F43" w:rsidTr="00557275">
        <w:trPr>
          <w:trHeight w:val="1301"/>
        </w:trPr>
        <w:tc>
          <w:tcPr>
            <w:tcW w:w="9522" w:type="dxa"/>
            <w:shd w:val="clear" w:color="auto" w:fill="auto"/>
          </w:tcPr>
          <w:p w:rsidR="00530C29" w:rsidRPr="008A2F43" w:rsidRDefault="00530C29" w:rsidP="00557275">
            <w:pPr>
              <w:pStyle w:val="NZEVPRCE"/>
            </w:pPr>
            <w:r>
              <w:t>Doporučení pro Česko v rámci evropského semestru 2024</w:t>
            </w:r>
          </w:p>
        </w:tc>
      </w:tr>
      <w:tr w:rsidR="00530C29" w:rsidRPr="008A2F43" w:rsidTr="00557275">
        <w:trPr>
          <w:trHeight w:val="2115"/>
        </w:trPr>
        <w:tc>
          <w:tcPr>
            <w:tcW w:w="9522" w:type="dxa"/>
            <w:shd w:val="clear" w:color="auto" w:fill="auto"/>
          </w:tcPr>
          <w:p w:rsidR="00530C29" w:rsidRPr="008A2F43" w:rsidRDefault="00530C29" w:rsidP="00557275">
            <w:pPr>
              <w:pStyle w:val="PODNZEVPRCE"/>
            </w:pPr>
            <w:r>
              <w:t>Informační podklad k d</w:t>
            </w:r>
            <w:r w:rsidRPr="00397685">
              <w:t>oporučení pro doporučení Rady o hospodářské, sociální, strukturální a rozpočtové politice a politice zaměstnanosti Česka</w:t>
            </w:r>
          </w:p>
          <w:p w:rsidR="00530C29" w:rsidRPr="008A2F43" w:rsidRDefault="00530C29" w:rsidP="00557275">
            <w:pPr>
              <w:pStyle w:val="PODNZEVPRCE"/>
            </w:pPr>
          </w:p>
          <w:p w:rsidR="00530C29" w:rsidRPr="008A2F43" w:rsidRDefault="00530C29" w:rsidP="00557275">
            <w:pPr>
              <w:rPr>
                <w:rFonts w:ascii="Calibri Light" w:hAnsi="Calibri Light"/>
              </w:rPr>
            </w:pPr>
          </w:p>
        </w:tc>
      </w:tr>
    </w:tbl>
    <w:p w:rsidR="00530C29" w:rsidRDefault="00530C29" w:rsidP="00530C29">
      <w:pPr>
        <w:pStyle w:val="ZHLAVTITULKY"/>
        <w:jc w:val="center"/>
      </w:pPr>
      <w:bookmarkStart w:id="1" w:name="_Toc102889783"/>
      <w:bookmarkStart w:id="2" w:name="_Toc102890434"/>
      <w:bookmarkStart w:id="3" w:name="_Toc102962509"/>
      <w:bookmarkStart w:id="4" w:name="_Toc102963703"/>
      <w:bookmarkStart w:id="5" w:name="_Toc104024348"/>
      <w:bookmarkStart w:id="6" w:name="_Toc442363945"/>
      <w:r>
        <w:t>DOPORUČENÍ</w:t>
      </w:r>
    </w:p>
    <w:p w:rsidR="00530C29" w:rsidRDefault="00530C29" w:rsidP="00530C29">
      <w:pPr>
        <w:pStyle w:val="PODNZEVPRCE"/>
        <w:jc w:val="center"/>
      </w:pPr>
      <w:proofErr w:type="spellStart"/>
      <w:r w:rsidRPr="00397685">
        <w:t>Recommendation</w:t>
      </w:r>
      <w:proofErr w:type="spellEnd"/>
      <w:r w:rsidRPr="00397685">
        <w:t xml:space="preserve"> </w:t>
      </w:r>
      <w:proofErr w:type="spellStart"/>
      <w:r w:rsidRPr="00397685">
        <w:t>for</w:t>
      </w:r>
      <w:proofErr w:type="spellEnd"/>
      <w:r w:rsidRPr="00397685">
        <w:t xml:space="preserve"> a </w:t>
      </w:r>
      <w:proofErr w:type="spellStart"/>
      <w:r w:rsidRPr="00397685">
        <w:t>Council</w:t>
      </w:r>
      <w:proofErr w:type="spellEnd"/>
      <w:r w:rsidRPr="00397685">
        <w:t xml:space="preserve"> </w:t>
      </w:r>
      <w:proofErr w:type="spellStart"/>
      <w:r w:rsidRPr="00397685">
        <w:t>Recommendation</w:t>
      </w:r>
      <w:proofErr w:type="spellEnd"/>
      <w:r w:rsidRPr="00397685">
        <w:t xml:space="preserve"> on </w:t>
      </w:r>
      <w:proofErr w:type="spellStart"/>
      <w:r w:rsidRPr="00397685">
        <w:t>the</w:t>
      </w:r>
      <w:proofErr w:type="spellEnd"/>
      <w:r w:rsidRPr="00397685">
        <w:t xml:space="preserve"> </w:t>
      </w:r>
      <w:proofErr w:type="spellStart"/>
      <w:r w:rsidRPr="00397685">
        <w:t>economic</w:t>
      </w:r>
      <w:proofErr w:type="spellEnd"/>
      <w:r w:rsidRPr="00397685">
        <w:t xml:space="preserve">, </w:t>
      </w:r>
      <w:proofErr w:type="spellStart"/>
      <w:r w:rsidRPr="00397685">
        <w:t>social</w:t>
      </w:r>
      <w:proofErr w:type="spellEnd"/>
      <w:r w:rsidRPr="00397685">
        <w:t xml:space="preserve">, </w:t>
      </w:r>
      <w:proofErr w:type="spellStart"/>
      <w:r w:rsidRPr="00397685">
        <w:t>employment</w:t>
      </w:r>
      <w:proofErr w:type="spellEnd"/>
      <w:r w:rsidRPr="00397685">
        <w:t xml:space="preserve">, </w:t>
      </w:r>
      <w:proofErr w:type="spellStart"/>
      <w:r w:rsidRPr="00397685">
        <w:t>structural</w:t>
      </w:r>
      <w:proofErr w:type="spellEnd"/>
      <w:r w:rsidRPr="00397685">
        <w:t xml:space="preserve"> and </w:t>
      </w:r>
      <w:proofErr w:type="spellStart"/>
      <w:r w:rsidRPr="00397685">
        <w:t>budgetary</w:t>
      </w:r>
      <w:proofErr w:type="spellEnd"/>
      <w:r w:rsidRPr="00397685">
        <w:t xml:space="preserve"> </w:t>
      </w:r>
      <w:proofErr w:type="spellStart"/>
      <w:r w:rsidRPr="00397685">
        <w:t>policies</w:t>
      </w:r>
      <w:proofErr w:type="spellEnd"/>
      <w:r w:rsidRPr="00397685">
        <w:t xml:space="preserve"> </w:t>
      </w:r>
      <w:proofErr w:type="spellStart"/>
      <w:r w:rsidRPr="00397685">
        <w:t>of</w:t>
      </w:r>
      <w:proofErr w:type="spellEnd"/>
      <w:r w:rsidRPr="00397685">
        <w:t xml:space="preserve"> </w:t>
      </w:r>
      <w:proofErr w:type="spellStart"/>
      <w:r w:rsidRPr="00397685">
        <w:t>Czechia</w:t>
      </w:r>
      <w:proofErr w:type="spellEnd"/>
      <w:r w:rsidRPr="00397685">
        <w:t xml:space="preserve"> – Doporučení pro doporučení Rady o hospodářské, sociální, struk</w:t>
      </w:r>
      <w:r>
        <w:t>turální a rozpočtové politice a </w:t>
      </w:r>
      <w:r w:rsidRPr="00397685">
        <w:t>politice zaměstnanosti Česka</w:t>
      </w:r>
    </w:p>
    <w:p w:rsidR="00530C29" w:rsidRDefault="00530C29" w:rsidP="00530C29">
      <w:pPr>
        <w:pStyle w:val="PODNZEVPRCE"/>
        <w:jc w:val="center"/>
      </w:pPr>
      <w:proofErr w:type="gramStart"/>
      <w:r>
        <w:t>COM(</w:t>
      </w:r>
      <w:proofErr w:type="gramEnd"/>
      <w:r>
        <w:t xml:space="preserve">2024) 603 </w:t>
      </w:r>
      <w:proofErr w:type="spellStart"/>
      <w:r>
        <w:t>final</w:t>
      </w:r>
      <w:proofErr w:type="spellEnd"/>
      <w:r>
        <w:t xml:space="preserve"> , kód Rady 11070/24</w:t>
      </w:r>
    </w:p>
    <w:p w:rsidR="00530C29" w:rsidRDefault="00530C29" w:rsidP="00530C29">
      <w:pPr>
        <w:jc w:val="both"/>
        <w:rPr>
          <w:rStyle w:val="Siln"/>
          <w:rFonts w:asciiTheme="minorHAnsi" w:hAnsiTheme="minorHAnsi"/>
          <w:b w:val="0"/>
          <w:bCs w:val="0"/>
          <w:caps/>
          <w:sz w:val="20"/>
        </w:rPr>
      </w:pPr>
    </w:p>
    <w:p w:rsidR="00530C29" w:rsidRDefault="00530C29" w:rsidP="00530C29">
      <w:pPr>
        <w:jc w:val="both"/>
        <w:rPr>
          <w:rStyle w:val="Siln"/>
        </w:rPr>
      </w:pPr>
    </w:p>
    <w:p w:rsidR="00530C29" w:rsidRPr="00C90F55" w:rsidRDefault="00530C29" w:rsidP="00530C29">
      <w:pPr>
        <w:pStyle w:val="Odstavecseseznamem"/>
        <w:keepNext/>
        <w:keepLines/>
        <w:numPr>
          <w:ilvl w:val="0"/>
          <w:numId w:val="21"/>
        </w:numPr>
        <w:suppressAutoHyphens/>
        <w:autoSpaceDN w:val="0"/>
        <w:spacing w:after="0" w:line="254" w:lineRule="auto"/>
        <w:ind w:left="0"/>
        <w:contextualSpacing w:val="0"/>
        <w:jc w:val="both"/>
        <w:textAlignment w:val="baseline"/>
        <w:rPr>
          <w:b/>
        </w:rPr>
      </w:pPr>
      <w:bookmarkStart w:id="7" w:name="_Toc445380604"/>
      <w:r w:rsidRPr="00C90F55">
        <w:rPr>
          <w:b/>
        </w:rPr>
        <w:t>Právní základ:</w:t>
      </w:r>
      <w:bookmarkEnd w:id="7"/>
    </w:p>
    <w:p w:rsidR="00530C29" w:rsidRDefault="00530C29" w:rsidP="00530C29">
      <w:pPr>
        <w:jc w:val="both"/>
      </w:pPr>
      <w:r w:rsidRPr="0048126F">
        <w:t>Dokument informační povahy.</w:t>
      </w:r>
    </w:p>
    <w:p w:rsidR="00530C29" w:rsidRPr="00373906" w:rsidRDefault="00530C29" w:rsidP="00530C29">
      <w:pPr>
        <w:pStyle w:val="Odstavecseseznamem"/>
        <w:keepNext/>
        <w:keepLines/>
        <w:numPr>
          <w:ilvl w:val="0"/>
          <w:numId w:val="21"/>
        </w:numPr>
        <w:suppressAutoHyphens/>
        <w:autoSpaceDN w:val="0"/>
        <w:spacing w:after="0" w:line="254" w:lineRule="auto"/>
        <w:ind w:left="0"/>
        <w:contextualSpacing w:val="0"/>
        <w:jc w:val="both"/>
        <w:textAlignment w:val="baseline"/>
        <w:rPr>
          <w:b/>
        </w:rPr>
      </w:pPr>
      <w:bookmarkStart w:id="8" w:name="_Toc445380605"/>
      <w:r w:rsidRPr="00373906">
        <w:rPr>
          <w:b/>
        </w:rPr>
        <w:t>Datum zaslání Poslanecké sněmovně prostřednictvím VEZ:</w:t>
      </w:r>
      <w:bookmarkEnd w:id="8"/>
    </w:p>
    <w:p w:rsidR="00530C29" w:rsidRDefault="00530C29" w:rsidP="00530C29">
      <w:pPr>
        <w:jc w:val="both"/>
      </w:pPr>
      <w:r>
        <w:t>20. 6. 2024</w:t>
      </w:r>
    </w:p>
    <w:p w:rsidR="00530C29" w:rsidRPr="00373906" w:rsidRDefault="00530C29" w:rsidP="00530C29">
      <w:pPr>
        <w:pStyle w:val="Odstavecseseznamem"/>
        <w:keepNext/>
        <w:keepLines/>
        <w:numPr>
          <w:ilvl w:val="0"/>
          <w:numId w:val="21"/>
        </w:numPr>
        <w:suppressAutoHyphens/>
        <w:autoSpaceDN w:val="0"/>
        <w:spacing w:after="0" w:line="254" w:lineRule="auto"/>
        <w:ind w:left="0"/>
        <w:contextualSpacing w:val="0"/>
        <w:jc w:val="both"/>
        <w:textAlignment w:val="baseline"/>
        <w:rPr>
          <w:b/>
        </w:rPr>
      </w:pPr>
      <w:bookmarkStart w:id="9" w:name="_Toc445380606"/>
      <w:r w:rsidRPr="00373906">
        <w:rPr>
          <w:b/>
        </w:rPr>
        <w:t>Datum projednání ve VEZ:</w:t>
      </w:r>
      <w:bookmarkEnd w:id="9"/>
    </w:p>
    <w:p w:rsidR="00530C29" w:rsidRDefault="00530C29" w:rsidP="00530C29">
      <w:pPr>
        <w:jc w:val="both"/>
      </w:pPr>
      <w:r>
        <w:t>3. 7. 2024</w:t>
      </w:r>
      <w:r w:rsidRPr="0048126F">
        <w:t xml:space="preserve"> (1. kolo)</w:t>
      </w:r>
    </w:p>
    <w:p w:rsidR="00530C29" w:rsidRPr="00373906" w:rsidRDefault="00530C29" w:rsidP="00530C29">
      <w:pPr>
        <w:pStyle w:val="Odstavecseseznamem"/>
        <w:keepNext/>
        <w:keepLines/>
        <w:numPr>
          <w:ilvl w:val="0"/>
          <w:numId w:val="21"/>
        </w:numPr>
        <w:suppressAutoHyphens/>
        <w:autoSpaceDN w:val="0"/>
        <w:spacing w:after="0" w:line="254" w:lineRule="auto"/>
        <w:ind w:left="0"/>
        <w:contextualSpacing w:val="0"/>
        <w:jc w:val="both"/>
        <w:textAlignment w:val="baseline"/>
        <w:rPr>
          <w:b/>
        </w:rPr>
      </w:pPr>
      <w:bookmarkStart w:id="10" w:name="_Toc445380607"/>
      <w:r w:rsidRPr="00373906">
        <w:rPr>
          <w:b/>
        </w:rPr>
        <w:t>Procedura:</w:t>
      </w:r>
      <w:bookmarkEnd w:id="10"/>
    </w:p>
    <w:p w:rsidR="00530C29" w:rsidRPr="00BB436D" w:rsidRDefault="00530C29" w:rsidP="00530C29">
      <w:pPr>
        <w:jc w:val="both"/>
      </w:pPr>
      <w:r w:rsidRPr="0048126F">
        <w:t xml:space="preserve">Není projednáváno legislativním postupem, jedná se o dokument nelegislativní povahy, který nepodléhá schválení v Radě a Evropském </w:t>
      </w:r>
      <w:r>
        <w:t>p</w:t>
      </w:r>
      <w:r w:rsidRPr="0048126F">
        <w:t>arlamentu. Proced</w:t>
      </w:r>
      <w:r>
        <w:t>ura je ukončena jeho přijetím a </w:t>
      </w:r>
      <w:r w:rsidRPr="0048126F">
        <w:t xml:space="preserve">předložením těmto institucím. </w:t>
      </w:r>
    </w:p>
    <w:p w:rsidR="00530C29" w:rsidRPr="00373906" w:rsidRDefault="00530C29" w:rsidP="00530C29">
      <w:pPr>
        <w:pStyle w:val="Odstavecseseznamem"/>
        <w:keepNext/>
        <w:keepLines/>
        <w:numPr>
          <w:ilvl w:val="0"/>
          <w:numId w:val="21"/>
        </w:numPr>
        <w:suppressAutoHyphens/>
        <w:autoSpaceDN w:val="0"/>
        <w:spacing w:after="0" w:line="254" w:lineRule="auto"/>
        <w:ind w:left="0"/>
        <w:contextualSpacing w:val="0"/>
        <w:jc w:val="both"/>
        <w:textAlignment w:val="baseline"/>
        <w:rPr>
          <w:b/>
        </w:rPr>
      </w:pPr>
      <w:bookmarkStart w:id="11" w:name="_Toc445380608"/>
      <w:r w:rsidRPr="00373906">
        <w:rPr>
          <w:b/>
        </w:rPr>
        <w:t xml:space="preserve">Předběžné stanovisko vlády (dle § </w:t>
      </w:r>
      <w:proofErr w:type="gramStart"/>
      <w:r w:rsidRPr="00373906">
        <w:rPr>
          <w:b/>
        </w:rPr>
        <w:t>109a</w:t>
      </w:r>
      <w:proofErr w:type="gramEnd"/>
      <w:r w:rsidRPr="00373906">
        <w:rPr>
          <w:b/>
        </w:rPr>
        <w:t xml:space="preserve"> odst. 1 jednacího řádu PS):</w:t>
      </w:r>
      <w:bookmarkEnd w:id="11"/>
    </w:p>
    <w:p w:rsidR="00530C29" w:rsidRPr="0048126F" w:rsidRDefault="00530C29" w:rsidP="00530C29">
      <w:pPr>
        <w:jc w:val="both"/>
      </w:pPr>
      <w:r w:rsidRPr="00980D3B">
        <w:t>Ke dni zpracování podkladu nebyl</w:t>
      </w:r>
      <w:r>
        <w:t>o</w:t>
      </w:r>
      <w:r w:rsidRPr="00980D3B">
        <w:t xml:space="preserve"> k dispozici.</w:t>
      </w:r>
    </w:p>
    <w:p w:rsidR="00530C29" w:rsidRPr="0048126F" w:rsidRDefault="00530C29" w:rsidP="00530C29">
      <w:pPr>
        <w:pStyle w:val="Nadpis1"/>
        <w:ind w:hanging="426"/>
      </w:pPr>
      <w:bookmarkStart w:id="12" w:name="_Toc445380609"/>
      <w:bookmarkStart w:id="13" w:name="_Toc448302188"/>
      <w:r w:rsidRPr="0048126F">
        <w:t>Hodnocení z hlediska principu</w:t>
      </w:r>
      <w:r w:rsidRPr="00D4776C">
        <w:rPr>
          <w:rStyle w:val="Nadpis1Char"/>
        </w:rPr>
        <w:t xml:space="preserve"> </w:t>
      </w:r>
      <w:r w:rsidRPr="0048126F">
        <w:t>subsidiarity:</w:t>
      </w:r>
      <w:bookmarkEnd w:id="12"/>
      <w:bookmarkEnd w:id="13"/>
    </w:p>
    <w:p w:rsidR="00530C29" w:rsidRDefault="00530C29" w:rsidP="00530C29">
      <w:pPr>
        <w:jc w:val="both"/>
      </w:pPr>
      <w:r w:rsidRPr="001C13DA">
        <w:t>Hodnocení z hlediska principu subsidiarity se neuplatní, jedná se o dokument informační povahy.</w:t>
      </w:r>
    </w:p>
    <w:p w:rsidR="00530C29" w:rsidRDefault="00530C29" w:rsidP="00530C29">
      <w:pPr>
        <w:pStyle w:val="Nadpis1"/>
        <w:ind w:hanging="284"/>
      </w:pPr>
      <w:bookmarkStart w:id="14" w:name="_Toc445380610"/>
      <w:bookmarkStart w:id="15" w:name="_Toc448302189"/>
      <w:r w:rsidRPr="0048126F">
        <w:lastRenderedPageBreak/>
        <w:t>Odůvodnění a předmět:</w:t>
      </w:r>
      <w:bookmarkEnd w:id="14"/>
      <w:bookmarkEnd w:id="15"/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286"/>
      </w:tblGrid>
      <w:tr w:rsidR="00530C29" w:rsidTr="00557275">
        <w:tc>
          <w:tcPr>
            <w:tcW w:w="0" w:type="auto"/>
            <w:shd w:val="clear" w:color="auto" w:fill="E7E6E6" w:themeFill="background2"/>
          </w:tcPr>
          <w:p w:rsidR="00530C29" w:rsidRPr="007008A8" w:rsidRDefault="00530C29" w:rsidP="00557275">
            <w:pPr>
              <w:spacing w:after="240"/>
              <w:jc w:val="both"/>
            </w:pPr>
            <w:r w:rsidRPr="007008A8">
              <w:t xml:space="preserve">V rámci evropského semestru Evropská komise předložila jarní balíček, jehož součástí je </w:t>
            </w:r>
            <w:hyperlink r:id="rId11" w:history="1">
              <w:r w:rsidRPr="007008A8">
                <w:rPr>
                  <w:rStyle w:val="Hypertextovodkaz"/>
                </w:rPr>
                <w:t>Sdělení Komise Evropskému parlamentu, Radě, Evropské centrální bance, Evropskému hospodářskému a sociálnímu výboru, Výboru regionů a Evropské investiční bance: Evropský semestr 2024 – Jarní balíček</w:t>
              </w:r>
            </w:hyperlink>
            <w:r w:rsidRPr="007008A8">
              <w:t xml:space="preserve">, </w:t>
            </w:r>
            <w:r w:rsidRPr="007008A8">
              <w:rPr>
                <w:b/>
              </w:rPr>
              <w:t>doporučení jednotlivým členským státům</w:t>
            </w:r>
            <w:r w:rsidRPr="007008A8">
              <w:t xml:space="preserve"> (</w:t>
            </w:r>
            <w:r w:rsidRPr="007008A8">
              <w:rPr>
                <w:i/>
              </w:rPr>
              <w:t xml:space="preserve">Country </w:t>
            </w:r>
            <w:proofErr w:type="spellStart"/>
            <w:r w:rsidRPr="007008A8">
              <w:rPr>
                <w:i/>
              </w:rPr>
              <w:t>Specific</w:t>
            </w:r>
            <w:proofErr w:type="spellEnd"/>
            <w:r w:rsidRPr="007008A8">
              <w:rPr>
                <w:i/>
              </w:rPr>
              <w:t xml:space="preserve"> </w:t>
            </w:r>
            <w:proofErr w:type="spellStart"/>
            <w:r w:rsidRPr="007008A8">
              <w:rPr>
                <w:i/>
              </w:rPr>
              <w:t>Recommendations</w:t>
            </w:r>
            <w:proofErr w:type="spellEnd"/>
            <w:r>
              <w:t xml:space="preserve">, </w:t>
            </w:r>
            <w:proofErr w:type="spellStart"/>
            <w:r>
              <w:t>CSRs</w:t>
            </w:r>
            <w:proofErr w:type="spellEnd"/>
            <w:r>
              <w:t>) a </w:t>
            </w:r>
            <w:r w:rsidRPr="007008A8">
              <w:t xml:space="preserve">také </w:t>
            </w:r>
            <w:r w:rsidRPr="007008A8">
              <w:rPr>
                <w:b/>
              </w:rPr>
              <w:t>zprávy o jednotlivých členských státech</w:t>
            </w:r>
            <w:r w:rsidRPr="007008A8">
              <w:t xml:space="preserve"> (</w:t>
            </w:r>
            <w:r w:rsidRPr="007008A8">
              <w:rPr>
                <w:i/>
              </w:rPr>
              <w:t xml:space="preserve">Country </w:t>
            </w:r>
            <w:proofErr w:type="spellStart"/>
            <w:r w:rsidRPr="007008A8">
              <w:rPr>
                <w:i/>
              </w:rPr>
              <w:t>Reports</w:t>
            </w:r>
            <w:proofErr w:type="spellEnd"/>
            <w:r w:rsidRPr="007008A8">
              <w:t xml:space="preserve">, </w:t>
            </w:r>
            <w:proofErr w:type="spellStart"/>
            <w:r w:rsidRPr="007008A8">
              <w:t>CRs</w:t>
            </w:r>
            <w:proofErr w:type="spellEnd"/>
            <w:r w:rsidRPr="007008A8">
              <w:t xml:space="preserve">). </w:t>
            </w:r>
          </w:p>
          <w:p w:rsidR="00530C29" w:rsidRPr="007008A8" w:rsidRDefault="00530C29" w:rsidP="00557275">
            <w:pPr>
              <w:spacing w:after="240"/>
              <w:jc w:val="both"/>
            </w:pPr>
            <w:r w:rsidRPr="007008A8">
              <w:t>Návrh doporučení pro Česko je obsažený v </w:t>
            </w:r>
            <w:hyperlink r:id="rId12" w:history="1">
              <w:r w:rsidRPr="007008A8">
                <w:rPr>
                  <w:rStyle w:val="Hypertextovodkaz"/>
                </w:rPr>
                <w:t xml:space="preserve">Doporučení pro </w:t>
              </w:r>
              <w:r>
                <w:rPr>
                  <w:rStyle w:val="Hypertextovodkaz"/>
                </w:rPr>
                <w:t>doporučení Rady k hospodářské a </w:t>
              </w:r>
              <w:r w:rsidRPr="007008A8">
                <w:rPr>
                  <w:rStyle w:val="Hypertextovodkaz"/>
                </w:rPr>
                <w:t>sociální politice, politice zaměstnanosti a strukturální a rozpočtové</w:t>
              </w:r>
            </w:hyperlink>
            <w:r w:rsidRPr="007008A8">
              <w:t xml:space="preserve">, jehož průvodním dokumentem je </w:t>
            </w:r>
            <w:hyperlink r:id="rId13" w:history="1">
              <w:r w:rsidRPr="007008A8">
                <w:rPr>
                  <w:rStyle w:val="Hypertextovodkaz"/>
                </w:rPr>
                <w:t>Zpráva o Česku 2024</w:t>
              </w:r>
            </w:hyperlink>
            <w:r>
              <w:t>. Pro období 2024</w:t>
            </w:r>
            <w:r w:rsidRPr="00B73A06">
              <w:t>–</w:t>
            </w:r>
            <w:r w:rsidRPr="007008A8">
              <w:t>2025 jsou Č</w:t>
            </w:r>
            <w:r>
              <w:t>esku</w:t>
            </w:r>
            <w:r w:rsidRPr="007008A8">
              <w:t xml:space="preserve"> adresována </w:t>
            </w:r>
            <w:r w:rsidRPr="007008A8">
              <w:rPr>
                <w:b/>
              </w:rPr>
              <w:t>čtyři doporučení</w:t>
            </w:r>
            <w:r w:rsidRPr="007008A8">
              <w:t xml:space="preserve">: </w:t>
            </w:r>
          </w:p>
          <w:p w:rsidR="00530C29" w:rsidRPr="007008A8" w:rsidRDefault="00530C29" w:rsidP="00530C29">
            <w:pPr>
              <w:pStyle w:val="Odstavecseseznamem"/>
              <w:keepNext/>
              <w:keepLines/>
              <w:numPr>
                <w:ilvl w:val="0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7008A8">
              <w:rPr>
                <w:b/>
              </w:rPr>
              <w:t>Fiskální a strukturální plán</w:t>
            </w:r>
            <w:r w:rsidRPr="007008A8">
              <w:t xml:space="preserve">: </w:t>
            </w:r>
          </w:p>
          <w:p w:rsidR="00530C29" w:rsidRPr="007008A8" w:rsidRDefault="00530C29" w:rsidP="00530C29">
            <w:pPr>
              <w:pStyle w:val="Odstavecseseznamem"/>
              <w:keepNext/>
              <w:keepLines/>
              <w:numPr>
                <w:ilvl w:val="1"/>
                <w:numId w:val="34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7008A8">
              <w:t xml:space="preserve">předložit střednědobý fiskálně-strukturální plán, </w:t>
            </w:r>
          </w:p>
          <w:p w:rsidR="00530C29" w:rsidRPr="007008A8" w:rsidRDefault="00530C29" w:rsidP="00530C29">
            <w:pPr>
              <w:pStyle w:val="Odstavecseseznamem"/>
              <w:keepNext/>
              <w:keepLines/>
              <w:numPr>
                <w:ilvl w:val="1"/>
                <w:numId w:val="34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7008A8">
              <w:t>omezit růst čistých výdajů v roce 2025 tak, aby schodek veřejných financí zůstal pod 3 % HDP</w:t>
            </w:r>
            <w:r>
              <w:t>,</w:t>
            </w:r>
            <w:r w:rsidRPr="007008A8">
              <w:t xml:space="preserve"> </w:t>
            </w:r>
          </w:p>
          <w:p w:rsidR="00530C29" w:rsidRPr="007008A8" w:rsidRDefault="00530C29" w:rsidP="00530C29">
            <w:pPr>
              <w:pStyle w:val="Odstavecseseznamem"/>
              <w:keepNext/>
              <w:keepLines/>
              <w:numPr>
                <w:ilvl w:val="1"/>
                <w:numId w:val="34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7008A8">
              <w:t>zajistit dlouhodobou udržitelnost důchodového systému</w:t>
            </w:r>
            <w:r>
              <w:t>,</w:t>
            </w:r>
          </w:p>
          <w:p w:rsidR="00530C29" w:rsidRPr="007008A8" w:rsidRDefault="00530C29" w:rsidP="00530C29">
            <w:pPr>
              <w:pStyle w:val="Odstavecseseznamem"/>
              <w:keepNext/>
              <w:keepLines/>
              <w:numPr>
                <w:ilvl w:val="1"/>
                <w:numId w:val="34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7008A8">
              <w:t>podporovat vyšší účast žen na trhu práce a motivovat osoby v předdůchodovém věku k</w:t>
            </w:r>
            <w:r>
              <w:t> </w:t>
            </w:r>
            <w:r w:rsidRPr="007008A8">
              <w:t>práci</w:t>
            </w:r>
            <w:r>
              <w:t xml:space="preserve"> a</w:t>
            </w:r>
            <w:r w:rsidRPr="007008A8">
              <w:t xml:space="preserve">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4"/>
              </w:numPr>
              <w:suppressAutoHyphens/>
              <w:autoSpaceDN w:val="0"/>
              <w:spacing w:line="254" w:lineRule="auto"/>
              <w:contextualSpacing w:val="0"/>
              <w:jc w:val="both"/>
              <w:textAlignment w:val="baseline"/>
            </w:pPr>
            <w:r w:rsidRPr="007008A8">
              <w:t>zvýšit příjmy z periodických daní z</w:t>
            </w:r>
            <w:r>
              <w:t> </w:t>
            </w:r>
            <w:r w:rsidRPr="007008A8">
              <w:t>nemovitosti</w:t>
            </w:r>
            <w:r>
              <w:t>.</w:t>
            </w:r>
            <w:r w:rsidRPr="007008A8">
              <w:t xml:space="preserve">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0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962D89">
              <w:rPr>
                <w:b/>
              </w:rPr>
              <w:t>Plán pro oživení a odolnost</w:t>
            </w:r>
            <w:r w:rsidRPr="007008A8">
              <w:t xml:space="preserve">: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>
              <w:t xml:space="preserve">posílit správní kapacitu pro správu plánu a urychlit investice,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>
              <w:t xml:space="preserve">řešit zpoždění a zajistit rychlou realizaci reforem a investic do srpna 2026 a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line="254" w:lineRule="auto"/>
              <w:contextualSpacing w:val="0"/>
              <w:jc w:val="both"/>
              <w:textAlignment w:val="baseline"/>
            </w:pPr>
            <w:r>
              <w:t xml:space="preserve">zrychlit provádění programů politiky soudržnosti a mobilizovat zdroje soukromého sektoru.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0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962D89">
              <w:rPr>
                <w:b/>
              </w:rPr>
              <w:t>Veřejná správa</w:t>
            </w:r>
            <w:r>
              <w:t xml:space="preserve">: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>
              <w:t xml:space="preserve">přilákat, udržet a rozvíjet talenty s důrazem na analytické, manažerské a IT dovednosti a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line="254" w:lineRule="auto"/>
              <w:contextualSpacing w:val="0"/>
              <w:jc w:val="both"/>
              <w:textAlignment w:val="baseline"/>
            </w:pPr>
            <w:r>
              <w:t xml:space="preserve">posílit strategické řídicí kapacity a podporovat spolupráci mezi obecními správami, zejména ve strukturálně postižených regionech.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0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 w:rsidRPr="00962D89">
              <w:rPr>
                <w:b/>
              </w:rPr>
              <w:t>Inovace a vzdělávání</w:t>
            </w:r>
            <w:r>
              <w:t xml:space="preserve">: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>
              <w:t>zlepšit transfer technologií z akademické obce do podniků,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after="0" w:line="254" w:lineRule="auto"/>
              <w:contextualSpacing w:val="0"/>
              <w:jc w:val="both"/>
              <w:textAlignment w:val="baseline"/>
            </w:pPr>
            <w:r>
              <w:t>podporovat start-</w:t>
            </w:r>
            <w:proofErr w:type="spellStart"/>
            <w:r>
              <w:t>upy</w:t>
            </w:r>
            <w:proofErr w:type="spellEnd"/>
            <w:r>
              <w:t xml:space="preserve"> a zvyšovat účast na terciárním vzdělávání a </w:t>
            </w:r>
          </w:p>
          <w:p w:rsidR="00530C29" w:rsidRDefault="00530C29" w:rsidP="00530C29">
            <w:pPr>
              <w:pStyle w:val="Odstavecseseznamem"/>
              <w:keepNext/>
              <w:keepLines/>
              <w:numPr>
                <w:ilvl w:val="1"/>
                <w:numId w:val="35"/>
              </w:numPr>
              <w:suppressAutoHyphens/>
              <w:autoSpaceDN w:val="0"/>
              <w:spacing w:line="254" w:lineRule="auto"/>
              <w:contextualSpacing w:val="0"/>
              <w:jc w:val="both"/>
              <w:textAlignment w:val="baseline"/>
            </w:pPr>
            <w:r>
              <w:t>řešit nesoulad mezi nabízenými a požadovanými dovednostmi a zjednodušit uznávání zahraničních kvalifikací.</w:t>
            </w:r>
          </w:p>
        </w:tc>
      </w:tr>
    </w:tbl>
    <w:p w:rsidR="00530C29" w:rsidRPr="007008A8" w:rsidRDefault="00530C29" w:rsidP="00530C29"/>
    <w:p w:rsidR="00530C29" w:rsidRPr="00EC5B27" w:rsidRDefault="00530C29" w:rsidP="00530C29">
      <w:pPr>
        <w:spacing w:after="120"/>
        <w:jc w:val="both"/>
      </w:pPr>
      <w:r w:rsidRPr="00EC5B27">
        <w:rPr>
          <w:b/>
        </w:rPr>
        <w:t>Evropský semestr</w:t>
      </w:r>
      <w:r w:rsidRPr="00EC5B27">
        <w:t xml:space="preserve"> představuje proces koordinace rozpočtové a hospodářské politiky. Cílem tohoto cyklu je předcházet případným ekonomickým výkyvům v jednotlivých zemích EU, které by mohly ovlivnit celou EU. Evropský semestr je Komisí zahájen v listopadu, kdy je přijata </w:t>
      </w:r>
      <w:r w:rsidRPr="00EC5B27">
        <w:rPr>
          <w:b/>
        </w:rPr>
        <w:t>roční analýza růstu</w:t>
      </w:r>
      <w:r w:rsidRPr="00EC5B27">
        <w:t>, která stanovuje priority EU pro nadcházející rok v oblasti roz</w:t>
      </w:r>
      <w:r>
        <w:t>počtové a hospodářské politiky a </w:t>
      </w:r>
      <w:r w:rsidRPr="00EC5B27">
        <w:t xml:space="preserve">politiky zaměstnanosti a formuluje strategická doporučení. Komise zároveň předkládá zprávu mechanismu varování, která určuje členské státy, o nichž se Komise domnívá, že mohou být postiženy nerovnováhou či u nich může hrozit riziko vzniku nerovnováhy. V březnu pak Komise zveřejňuje </w:t>
      </w:r>
      <w:r w:rsidRPr="00EC5B27">
        <w:rPr>
          <w:b/>
        </w:rPr>
        <w:t>zprávy o jednotlivých členských státech</w:t>
      </w:r>
      <w:r w:rsidRPr="00EC5B27">
        <w:t xml:space="preserve"> (</w:t>
      </w:r>
      <w:r w:rsidRPr="00EC5B27">
        <w:rPr>
          <w:i/>
        </w:rPr>
        <w:t xml:space="preserve">Country </w:t>
      </w:r>
      <w:proofErr w:type="spellStart"/>
      <w:r w:rsidRPr="00EC5B27">
        <w:rPr>
          <w:i/>
        </w:rPr>
        <w:t>Reports</w:t>
      </w:r>
      <w:proofErr w:type="spellEnd"/>
      <w:r w:rsidRPr="00EC5B27">
        <w:t xml:space="preserve">, </w:t>
      </w:r>
      <w:proofErr w:type="spellStart"/>
      <w:r w:rsidRPr="00EC5B27">
        <w:t>CRs</w:t>
      </w:r>
      <w:proofErr w:type="spellEnd"/>
      <w:r w:rsidRPr="00EC5B27">
        <w:t xml:space="preserve">) a u těch členských států, u nichž bylo riziko nerovnováhy posouzeno jako vysoké, obsahuje zpráva také hloubkový přezkum makroekonomické nerovnováhy. V další fázi stanoví Evropská rada politické směry pro nadcházející rok, které jsou strategickými vodítky, jež musí členské státy zahrnout do svých národních programů reforem a konvergenčních programů, v případě členů eurozóny do programů stability. V dubnu členské státy předkládají Komisi </w:t>
      </w:r>
      <w:r w:rsidRPr="00EC5B27">
        <w:rPr>
          <w:b/>
        </w:rPr>
        <w:t>národní programy reforem a konvergenční programy</w:t>
      </w:r>
      <w:r w:rsidRPr="00EC5B27">
        <w:t xml:space="preserve"> (nebo </w:t>
      </w:r>
      <w:r w:rsidRPr="00EC5B27">
        <w:lastRenderedPageBreak/>
        <w:t xml:space="preserve">programy stability) pro daný rok. Po vyhodnocení těchto dokumentů Komise předkládá Radě EU </w:t>
      </w:r>
      <w:r w:rsidRPr="00EC5B27">
        <w:rPr>
          <w:b/>
        </w:rPr>
        <w:t>návrhy doporučení pro jednotlivé země</w:t>
      </w:r>
      <w:r w:rsidRPr="00EC5B27">
        <w:t xml:space="preserve"> (</w:t>
      </w:r>
      <w:r w:rsidRPr="00EC5B27">
        <w:rPr>
          <w:i/>
        </w:rPr>
        <w:t xml:space="preserve">Country </w:t>
      </w:r>
      <w:proofErr w:type="spellStart"/>
      <w:r w:rsidRPr="00EC5B27">
        <w:rPr>
          <w:i/>
        </w:rPr>
        <w:t>Specific</w:t>
      </w:r>
      <w:proofErr w:type="spellEnd"/>
      <w:r w:rsidRPr="00EC5B27">
        <w:rPr>
          <w:i/>
        </w:rPr>
        <w:t xml:space="preserve"> </w:t>
      </w:r>
      <w:proofErr w:type="spellStart"/>
      <w:r w:rsidRPr="00EC5B27">
        <w:rPr>
          <w:i/>
        </w:rPr>
        <w:t>Recommendations</w:t>
      </w:r>
      <w:proofErr w:type="spellEnd"/>
      <w:r w:rsidRPr="00EC5B27">
        <w:t xml:space="preserve">, </w:t>
      </w:r>
      <w:proofErr w:type="spellStart"/>
      <w:r w:rsidRPr="00EC5B27">
        <w:t>CSRs</w:t>
      </w:r>
      <w:proofErr w:type="spellEnd"/>
      <w:r w:rsidRPr="00EC5B27">
        <w:t>). Tato doporučení potvrdí Evropská rada a tím je proces evropského semestru ukončen. Navazuje fáze provedení doporučení na úrovni členských států, tzv. národní semestr, v němž se doporučení zohledňují při sestavování státních rozpočtů pro nadcházející rok.</w:t>
      </w:r>
    </w:p>
    <w:p w:rsidR="00530C29" w:rsidRDefault="00530C29" w:rsidP="00530C29">
      <w:pPr>
        <w:spacing w:before="120" w:after="240"/>
        <w:jc w:val="both"/>
      </w:pPr>
      <w:r w:rsidRPr="00EC5B27">
        <w:t xml:space="preserve">Evropský </w:t>
      </w:r>
      <w:r>
        <w:t>semestr je od roku 2021</w:t>
      </w:r>
      <w:r w:rsidRPr="00EC5B27">
        <w:t xml:space="preserve"> propojen s Nástrojem pro oživení a odolnost (</w:t>
      </w:r>
      <w:proofErr w:type="spellStart"/>
      <w:r w:rsidRPr="00EC5B27">
        <w:rPr>
          <w:i/>
        </w:rPr>
        <w:t>Recovery</w:t>
      </w:r>
      <w:proofErr w:type="spellEnd"/>
      <w:r w:rsidRPr="00EC5B27">
        <w:rPr>
          <w:i/>
        </w:rPr>
        <w:t xml:space="preserve"> and </w:t>
      </w:r>
      <w:proofErr w:type="spellStart"/>
      <w:r w:rsidRPr="00EC5B27">
        <w:rPr>
          <w:i/>
        </w:rPr>
        <w:t>Resilience</w:t>
      </w:r>
      <w:proofErr w:type="spellEnd"/>
      <w:r w:rsidRPr="00EC5B27">
        <w:rPr>
          <w:i/>
        </w:rPr>
        <w:t xml:space="preserve"> </w:t>
      </w:r>
      <w:proofErr w:type="spellStart"/>
      <w:r w:rsidRPr="00EC5B27">
        <w:rPr>
          <w:i/>
        </w:rPr>
        <w:t>Facility</w:t>
      </w:r>
      <w:proofErr w:type="spellEnd"/>
      <w:r w:rsidRPr="00EC5B27">
        <w:t>, RRF)</w:t>
      </w:r>
      <w:r w:rsidRPr="00EC5B27">
        <w:rPr>
          <w:rStyle w:val="Znakapoznpodarou"/>
        </w:rPr>
        <w:footnoteReference w:id="1"/>
      </w:r>
      <w:r w:rsidRPr="00EC5B27">
        <w:t xml:space="preserve"> a </w:t>
      </w:r>
      <w:hyperlink r:id="rId14" w:history="1">
        <w:r w:rsidRPr="00EC5B27">
          <w:rPr>
            <w:rStyle w:val="Hypertextovodkaz"/>
          </w:rPr>
          <w:t xml:space="preserve">plánem </w:t>
        </w:r>
        <w:proofErr w:type="spellStart"/>
        <w:r w:rsidRPr="00EC5B27">
          <w:rPr>
            <w:rStyle w:val="Hypertextovodkaz"/>
          </w:rPr>
          <w:t>REPowerEU</w:t>
        </w:r>
        <w:proofErr w:type="spellEnd"/>
      </w:hyperlink>
      <w:r w:rsidRPr="00EC5B27">
        <w:rPr>
          <w:rStyle w:val="Znakapoznpodarou"/>
        </w:rPr>
        <w:footnoteReference w:id="2"/>
      </w:r>
      <w:r w:rsidRPr="00EC5B27">
        <w:t xml:space="preserve">. Od roku 2022 obsahují jednotlivá </w:t>
      </w:r>
      <w:proofErr w:type="spellStart"/>
      <w:r w:rsidRPr="00EC5B27">
        <w:t>CSRs</w:t>
      </w:r>
      <w:proofErr w:type="spellEnd"/>
      <w:r w:rsidRPr="00EC5B27">
        <w:t xml:space="preserve"> a </w:t>
      </w:r>
      <w:proofErr w:type="spellStart"/>
      <w:r w:rsidRPr="00EC5B27">
        <w:t>CRs</w:t>
      </w:r>
      <w:proofErr w:type="spellEnd"/>
      <w:r w:rsidRPr="00EC5B27">
        <w:t xml:space="preserve"> mimo jiné také posouzení, jak členské státy provádějí své národní plány obnovy (</w:t>
      </w:r>
      <w:proofErr w:type="spellStart"/>
      <w:r w:rsidRPr="00EC5B27">
        <w:rPr>
          <w:i/>
        </w:rPr>
        <w:t>Recovery</w:t>
      </w:r>
      <w:proofErr w:type="spellEnd"/>
      <w:r w:rsidRPr="00EC5B27">
        <w:rPr>
          <w:i/>
        </w:rPr>
        <w:t xml:space="preserve"> and </w:t>
      </w:r>
      <w:proofErr w:type="spellStart"/>
      <w:r w:rsidRPr="00EC5B27">
        <w:rPr>
          <w:i/>
        </w:rPr>
        <w:t>Resilience</w:t>
      </w:r>
      <w:proofErr w:type="spellEnd"/>
      <w:r w:rsidRPr="00EC5B27">
        <w:rPr>
          <w:i/>
        </w:rPr>
        <w:t xml:space="preserve"> </w:t>
      </w:r>
      <w:proofErr w:type="spellStart"/>
      <w:r w:rsidRPr="00EC5B27">
        <w:rPr>
          <w:i/>
        </w:rPr>
        <w:t>Plans</w:t>
      </w:r>
      <w:proofErr w:type="spellEnd"/>
      <w:r w:rsidRPr="00EC5B27">
        <w:t xml:space="preserve">, </w:t>
      </w:r>
      <w:proofErr w:type="spellStart"/>
      <w:r w:rsidRPr="00EC5B27">
        <w:t>RRPs</w:t>
      </w:r>
      <w:proofErr w:type="spellEnd"/>
      <w:r w:rsidRPr="00EC5B27">
        <w:t>), stejně jako přehled o hospodářském a sociálním vývoji a výzvách jednotlivých členských států včetně výhledové analýzy jejich odolnosti.</w:t>
      </w:r>
      <w:r>
        <w:t xml:space="preserve"> </w:t>
      </w:r>
    </w:p>
    <w:p w:rsidR="00530C29" w:rsidRPr="0048126F" w:rsidRDefault="00530C29" w:rsidP="00530C29">
      <w:pPr>
        <w:pStyle w:val="Nadpis1"/>
      </w:pPr>
      <w:bookmarkStart w:id="16" w:name="_Toc445380611"/>
      <w:bookmarkStart w:id="17" w:name="_Toc448302190"/>
      <w:r w:rsidRPr="0048126F">
        <w:t xml:space="preserve">Obsah a </w:t>
      </w:r>
      <w:r w:rsidRPr="00134640">
        <w:t>dopad</w:t>
      </w:r>
      <w:r w:rsidRPr="0048126F">
        <w:t>:</w:t>
      </w:r>
      <w:bookmarkEnd w:id="16"/>
      <w:bookmarkEnd w:id="17"/>
    </w:p>
    <w:p w:rsidR="00530C29" w:rsidRPr="0029173F" w:rsidRDefault="00530C29" w:rsidP="00530C29">
      <w:pPr>
        <w:shd w:val="clear" w:color="auto" w:fill="DEEAF6" w:themeFill="accent1" w:themeFillTint="33"/>
        <w:spacing w:after="120"/>
        <w:jc w:val="both"/>
        <w:rPr>
          <w:i/>
        </w:rPr>
      </w:pPr>
      <w:r w:rsidRPr="0029173F">
        <w:rPr>
          <w:b/>
          <w:i/>
          <w:u w:val="single"/>
        </w:rPr>
        <w:t>Sdělení Komise: Evropský semestr 2024 – Jarní balíček</w:t>
      </w:r>
    </w:p>
    <w:p w:rsidR="00530C29" w:rsidRPr="0009536A" w:rsidRDefault="00530C29" w:rsidP="00530C29">
      <w:pPr>
        <w:shd w:val="clear" w:color="auto" w:fill="DEEAF6" w:themeFill="accent1" w:themeFillTint="33"/>
        <w:spacing w:after="120"/>
        <w:jc w:val="both"/>
      </w:pPr>
      <w:r w:rsidRPr="0009536A">
        <w:t xml:space="preserve">Sdělení Komise obsahuje řadu legislativních návrhů a politických opatření zaměřených na posílení správy ekonomických záležitostí a finanční stability EU. </w:t>
      </w:r>
      <w:r w:rsidRPr="0029173F">
        <w:t>Celkovým cílem těchto návrhů je vytvořit odolnější, udržitelnější a inkluzivnější evropskou ekonomiku, která bude schopna čelit budoucím výzvám a zajistí dlouhodobou prosperitu všem členským státům.</w:t>
      </w:r>
    </w:p>
    <w:p w:rsidR="00530C29" w:rsidRPr="0078160D" w:rsidRDefault="00530C29" w:rsidP="00530C29">
      <w:pPr>
        <w:shd w:val="clear" w:color="auto" w:fill="DEEAF6" w:themeFill="accent1" w:themeFillTint="33"/>
        <w:spacing w:after="120"/>
        <w:jc w:val="both"/>
      </w:pPr>
      <w:r w:rsidRPr="0009536A">
        <w:t xml:space="preserve">Co se týče </w:t>
      </w:r>
      <w:r w:rsidRPr="0009536A">
        <w:rPr>
          <w:b/>
        </w:rPr>
        <w:t>hospodářské a fiskální politiky</w:t>
      </w:r>
      <w:r w:rsidRPr="0009536A">
        <w:t xml:space="preserve">, sdělení zdůrazňuje význam udržitelných a odpovědných fiskálních politik ve všech členských státech. Navrhuje vylepšení Paktu o stabilitě a růstu se zaměřením na zajištění dlouhodobé udržitelnosti dluhu při současné podpoře hospodářského </w:t>
      </w:r>
      <w:r w:rsidRPr="0078160D">
        <w:t xml:space="preserve">růstu a zaměstnanosti. </w:t>
      </w:r>
    </w:p>
    <w:p w:rsidR="00530C29" w:rsidRPr="0078160D" w:rsidRDefault="00530C29" w:rsidP="00530C29">
      <w:pPr>
        <w:shd w:val="clear" w:color="auto" w:fill="DEEAF6" w:themeFill="accent1" w:themeFillTint="33"/>
        <w:spacing w:after="120"/>
        <w:jc w:val="both"/>
      </w:pPr>
      <w:r w:rsidRPr="0078160D">
        <w:t xml:space="preserve">S ohledem na </w:t>
      </w:r>
      <w:r w:rsidRPr="0078160D">
        <w:rPr>
          <w:b/>
        </w:rPr>
        <w:t>investice a růst</w:t>
      </w:r>
      <w:r w:rsidRPr="0078160D">
        <w:t xml:space="preserve">, Komise navrhuje rámec, který podporuje veřejné a soukromé investice, zejména do ekologického a digitálního přechodu, což povede k podpoře investic a hospodářského růstu. To zahrnuje podporu inovací, infrastrukturních projektů a digitalizaci. </w:t>
      </w:r>
    </w:p>
    <w:p w:rsidR="00530C29" w:rsidRDefault="00530C29" w:rsidP="00530C29">
      <w:pPr>
        <w:shd w:val="clear" w:color="auto" w:fill="DEEAF6" w:themeFill="accent1" w:themeFillTint="33"/>
        <w:spacing w:after="120"/>
        <w:jc w:val="both"/>
      </w:pPr>
      <w:r w:rsidRPr="0078160D">
        <w:t xml:space="preserve">Sdělení dál zdůrazňuje potřebu spolehlivých mechanismů pro </w:t>
      </w:r>
      <w:r w:rsidRPr="0078160D">
        <w:rPr>
          <w:b/>
        </w:rPr>
        <w:t>zvládání hospodářských otřesů a krizí</w:t>
      </w:r>
      <w:r w:rsidRPr="0078160D">
        <w:t>. Obsahuje návrhy na vytvoření evropského mechanismu finanční stability, který by poskytoval včasnou finanční podporu členským státům v nouzi a zajišťoval stabilitu v eurozóně.</w:t>
      </w:r>
    </w:p>
    <w:p w:rsidR="00530C29" w:rsidRDefault="00530C29" w:rsidP="00530C29">
      <w:pPr>
        <w:shd w:val="clear" w:color="auto" w:fill="DEEAF6" w:themeFill="accent1" w:themeFillTint="33"/>
        <w:spacing w:after="120"/>
        <w:jc w:val="both"/>
      </w:pPr>
      <w:r>
        <w:t xml:space="preserve">Prioritou </w:t>
      </w:r>
      <w:r w:rsidRPr="0078160D">
        <w:rPr>
          <w:b/>
        </w:rPr>
        <w:t>sociálního a inkluzivního růstu</w:t>
      </w:r>
      <w:r>
        <w:t xml:space="preserve"> je zajistit, aby hospodářský růst</w:t>
      </w:r>
      <w:r w:rsidRPr="0078160D">
        <w:t xml:space="preserve"> přinášel prospěch všem občanům. Cílem návrhů je snížit nerovnosti, podpořit sociální politiky a podpořit zaměstnanost, zejména se zaměřením na zranitelné skupiny.</w:t>
      </w:r>
    </w:p>
    <w:p w:rsidR="00530C29" w:rsidRDefault="00530C29" w:rsidP="00530C29">
      <w:pPr>
        <w:shd w:val="clear" w:color="auto" w:fill="DEEAF6" w:themeFill="accent1" w:themeFillTint="33"/>
        <w:spacing w:after="120"/>
        <w:jc w:val="both"/>
      </w:pPr>
      <w:r>
        <w:t xml:space="preserve">Nezbytné je dále </w:t>
      </w:r>
      <w:r w:rsidRPr="0078160D">
        <w:rPr>
          <w:b/>
        </w:rPr>
        <w:t>posílení rámce správy a řízení</w:t>
      </w:r>
      <w:r>
        <w:t xml:space="preserve">. To zahrnuje posílení dohledu, lepší koordinaci mezi politikami na vnitrostátní a unijní úrovni a transparentnější a odpovědnější rozhodovací proces. </w:t>
      </w:r>
    </w:p>
    <w:p w:rsidR="00530C29" w:rsidRPr="0029173F" w:rsidRDefault="00530C29" w:rsidP="00530C29">
      <w:pPr>
        <w:shd w:val="clear" w:color="auto" w:fill="DEEAF6" w:themeFill="accent1" w:themeFillTint="33"/>
        <w:spacing w:after="120"/>
        <w:jc w:val="both"/>
        <w:rPr>
          <w:b/>
        </w:rPr>
      </w:pPr>
      <w:r>
        <w:t>Sdělení se také věnuje cílům v oblasti životního prostředí a klimatu a propojuje hospodářské politiky s cíli EU v oblasti klimatu a prosazuje investice do obnovitelných zdrojů energie (OZE), energetické účinnosti a udržitelných postupů, aby bylo do roku 2050 dosaženo klimatické neutrality.</w:t>
      </w:r>
    </w:p>
    <w:p w:rsidR="00530C29" w:rsidRPr="00962D89" w:rsidRDefault="00530C29" w:rsidP="00530C29">
      <w:pPr>
        <w:spacing w:after="120"/>
        <w:jc w:val="both"/>
        <w:rPr>
          <w:b/>
          <w:i/>
          <w:u w:val="single"/>
        </w:rPr>
      </w:pPr>
      <w:r w:rsidRPr="00962D89">
        <w:rPr>
          <w:b/>
          <w:i/>
          <w:u w:val="single"/>
        </w:rPr>
        <w:t>Doporučení pro doporučení Rady o hospodářské, sociální, struk</w:t>
      </w:r>
      <w:r>
        <w:rPr>
          <w:b/>
          <w:i/>
          <w:u w:val="single"/>
        </w:rPr>
        <w:t>turální a rozpočtové politice a </w:t>
      </w:r>
      <w:r w:rsidRPr="00962D89">
        <w:rPr>
          <w:b/>
          <w:i/>
          <w:u w:val="single"/>
        </w:rPr>
        <w:t>politice zaměstnanosti Česka</w:t>
      </w:r>
    </w:p>
    <w:p w:rsidR="00530C29" w:rsidRPr="00EC5B27" w:rsidRDefault="00530C29" w:rsidP="00530C29">
      <w:pPr>
        <w:spacing w:after="120"/>
        <w:jc w:val="both"/>
      </w:pPr>
      <w:r w:rsidRPr="00EC5B27">
        <w:lastRenderedPageBreak/>
        <w:t xml:space="preserve">Dokument </w:t>
      </w:r>
      <w:r>
        <w:t xml:space="preserve">obsahuje doporučení Evropské komise Radě ohledně hospodářských, sociálních, zaměstnaneckých, strukturálních a rozpočtových politik pro Česko, založená na analýzách a předpisech v rámci evropského semestru a dalších směrnic EU.  </w:t>
      </w:r>
    </w:p>
    <w:p w:rsidR="00530C29" w:rsidRPr="00962D89" w:rsidRDefault="00530C29" w:rsidP="00530C29">
      <w:pPr>
        <w:spacing w:after="120"/>
        <w:jc w:val="both"/>
      </w:pPr>
      <w:r w:rsidRPr="00962D89">
        <w:rPr>
          <w:u w:val="single"/>
        </w:rPr>
        <w:t>Komise adresuje Č</w:t>
      </w:r>
      <w:r>
        <w:rPr>
          <w:u w:val="single"/>
        </w:rPr>
        <w:t>esku</w:t>
      </w:r>
      <w:r w:rsidRPr="00962D89">
        <w:rPr>
          <w:u w:val="single"/>
        </w:rPr>
        <w:t xml:space="preserve"> pro období 2024–2025 čtyři doporučení</w:t>
      </w:r>
      <w:r w:rsidRPr="00962D89">
        <w:t xml:space="preserve">: </w:t>
      </w:r>
    </w:p>
    <w:p w:rsidR="00530C29" w:rsidRPr="0009536A" w:rsidRDefault="00530C29" w:rsidP="00530C29">
      <w:pPr>
        <w:pStyle w:val="Odstavecseseznamem"/>
        <w:numPr>
          <w:ilvl w:val="0"/>
          <w:numId w:val="21"/>
        </w:numPr>
        <w:suppressAutoHyphens/>
        <w:autoSpaceDN w:val="0"/>
        <w:spacing w:after="120" w:line="254" w:lineRule="auto"/>
        <w:contextualSpacing w:val="0"/>
        <w:jc w:val="both"/>
        <w:textAlignment w:val="baseline"/>
        <w:rPr>
          <w:i/>
        </w:rPr>
      </w:pPr>
      <w:r w:rsidRPr="0009536A">
        <w:rPr>
          <w:i/>
        </w:rPr>
        <w:t xml:space="preserve">Včas </w:t>
      </w:r>
      <w:r w:rsidRPr="0009536A">
        <w:rPr>
          <w:b/>
          <w:i/>
        </w:rPr>
        <w:t>předložit střednědobý fiskálně-strukturální plán</w:t>
      </w:r>
      <w:r w:rsidRPr="0009536A">
        <w:rPr>
          <w:i/>
        </w:rPr>
        <w:t xml:space="preserve">. V souladu s požadavky reformovaného Paktu o stabilitě a růstu </w:t>
      </w:r>
      <w:r w:rsidRPr="0009536A">
        <w:rPr>
          <w:b/>
          <w:i/>
        </w:rPr>
        <w:t>omezit růst čistých výdajů v roce 2025</w:t>
      </w:r>
      <w:r w:rsidRPr="0009536A">
        <w:rPr>
          <w:i/>
        </w:rPr>
        <w:t xml:space="preserve"> na míru, která je v souladu se zachováním schodku veřejných financí pod referenční hodnotou 3 % HDP stanovenou ve Smlouvě a udržením veřejného dluhu na obezřetné úrovni ve střednědobém horizontu. </w:t>
      </w:r>
      <w:r w:rsidRPr="0009536A">
        <w:rPr>
          <w:b/>
          <w:i/>
        </w:rPr>
        <w:t>Přijmout opatření k zajištění dlouhodobé fiskální udržitelnosti důchodového systému</w:t>
      </w:r>
      <w:r w:rsidRPr="0009536A">
        <w:rPr>
          <w:i/>
        </w:rPr>
        <w:t xml:space="preserve">. Omezit faktory v oblasti daní a dávek, které odrazují rodiče od návratu do zaměstnání, s cílem </w:t>
      </w:r>
      <w:r w:rsidRPr="0009536A">
        <w:rPr>
          <w:b/>
          <w:i/>
        </w:rPr>
        <w:t>podpořit vyšší účast žen na trhu práce</w:t>
      </w:r>
      <w:r w:rsidRPr="0009536A">
        <w:rPr>
          <w:i/>
        </w:rPr>
        <w:t xml:space="preserve">. Zlepšit pobídky, které motivují osoby v předdůchodovém věku, aby dále pracovaly. Podniknout kroky ke </w:t>
      </w:r>
      <w:r w:rsidRPr="0009536A">
        <w:rPr>
          <w:b/>
          <w:i/>
        </w:rPr>
        <w:t>zvýšení příjmů z periodických daní z nemovitostí</w:t>
      </w:r>
      <w:r w:rsidRPr="0009536A">
        <w:rPr>
          <w:i/>
        </w:rPr>
        <w:t>.</w:t>
      </w:r>
    </w:p>
    <w:p w:rsidR="00530C29" w:rsidRPr="00962D89" w:rsidRDefault="00530C29" w:rsidP="00530C29">
      <w:pPr>
        <w:pStyle w:val="Odstavecseseznamem"/>
        <w:keepNext/>
        <w:keepLines/>
        <w:numPr>
          <w:ilvl w:val="0"/>
          <w:numId w:val="33"/>
        </w:numPr>
        <w:suppressAutoHyphens/>
        <w:autoSpaceDN w:val="0"/>
        <w:spacing w:after="120" w:line="254" w:lineRule="auto"/>
        <w:contextualSpacing w:val="0"/>
        <w:jc w:val="both"/>
        <w:textAlignment w:val="baseline"/>
        <w:rPr>
          <w:i/>
        </w:rPr>
      </w:pPr>
      <w:r w:rsidRPr="00962D89">
        <w:rPr>
          <w:b/>
          <w:i/>
        </w:rPr>
        <w:t>Posílit správní kapacitu pro správu plánu</w:t>
      </w:r>
      <w:r w:rsidRPr="00962D89">
        <w:rPr>
          <w:i/>
        </w:rPr>
        <w:t xml:space="preserve"> pro oživení a odolnost, </w:t>
      </w:r>
      <w:r w:rsidRPr="00962D89">
        <w:rPr>
          <w:b/>
          <w:i/>
        </w:rPr>
        <w:t>urychlit investice</w:t>
      </w:r>
      <w:r w:rsidRPr="00962D89">
        <w:rPr>
          <w:i/>
        </w:rPr>
        <w:t xml:space="preserve"> a udržet dynamiku provádění reforem. </w:t>
      </w:r>
      <w:r w:rsidRPr="00962D89">
        <w:rPr>
          <w:b/>
          <w:i/>
        </w:rPr>
        <w:t>Řešit vznikající zpoždění</w:t>
      </w:r>
      <w:r w:rsidRPr="00962D89">
        <w:rPr>
          <w:i/>
        </w:rPr>
        <w:t xml:space="preserve"> a t</w:t>
      </w:r>
      <w:r>
        <w:rPr>
          <w:i/>
        </w:rPr>
        <w:t>ím umožnit průběžnou, rychlou a </w:t>
      </w:r>
      <w:r w:rsidRPr="00962D89">
        <w:rPr>
          <w:i/>
        </w:rPr>
        <w:t xml:space="preserve">účinnou realizaci plánu pro oživení a odolnost, včetně kapitoly </w:t>
      </w:r>
      <w:proofErr w:type="spellStart"/>
      <w:r w:rsidRPr="00962D89">
        <w:rPr>
          <w:i/>
        </w:rPr>
        <w:t>REPowerEU</w:t>
      </w:r>
      <w:proofErr w:type="spellEnd"/>
      <w:r w:rsidRPr="00962D89">
        <w:rPr>
          <w:i/>
        </w:rPr>
        <w:t xml:space="preserve">, která zajistí dokončení reforem a investic do srpna 2026. </w:t>
      </w:r>
      <w:r w:rsidRPr="00962D89">
        <w:rPr>
          <w:b/>
          <w:i/>
        </w:rPr>
        <w:t>Urychlit provádění programů v rámci politiky soudržnosti</w:t>
      </w:r>
      <w:r w:rsidRPr="00962D89">
        <w:rPr>
          <w:i/>
        </w:rPr>
        <w:t>. V souvislosti s přezkumem v polovině období se nadále zaměřovat na dohodnuté priority, přijmout opatření k lepší mobilizaci zdrojů soukromého sektoru, mimo jiné využíváním inovativních finančních nástrojů a zároveň zvážit příležitosti pro zvýšení konkurenceschopnosti, které nabízí Platforma strategických technologií pro Evropu.</w:t>
      </w:r>
    </w:p>
    <w:p w:rsidR="00530C29" w:rsidRPr="00962D89" w:rsidRDefault="00530C29" w:rsidP="00530C29">
      <w:pPr>
        <w:pStyle w:val="Odstavecseseznamem"/>
        <w:numPr>
          <w:ilvl w:val="0"/>
          <w:numId w:val="21"/>
        </w:numPr>
        <w:suppressAutoHyphens/>
        <w:autoSpaceDN w:val="0"/>
        <w:spacing w:after="120" w:line="254" w:lineRule="auto"/>
        <w:ind w:left="714" w:hanging="357"/>
        <w:contextualSpacing w:val="0"/>
        <w:jc w:val="both"/>
        <w:textAlignment w:val="baseline"/>
        <w:rPr>
          <w:i/>
        </w:rPr>
      </w:pPr>
      <w:r w:rsidRPr="00962D89">
        <w:rPr>
          <w:i/>
        </w:rPr>
        <w:t xml:space="preserve">Posílit schopnost české veřejné správy </w:t>
      </w:r>
      <w:r w:rsidRPr="00962D89">
        <w:rPr>
          <w:b/>
          <w:i/>
        </w:rPr>
        <w:t>přilákat, udržet si a rozvíjet talenty</w:t>
      </w:r>
      <w:r w:rsidRPr="00962D89">
        <w:rPr>
          <w:i/>
        </w:rPr>
        <w:t xml:space="preserve">, zejména pokud jde o analytické, manažerské a IT dovednosti. Omezit </w:t>
      </w:r>
      <w:proofErr w:type="spellStart"/>
      <w:r w:rsidRPr="00962D89">
        <w:rPr>
          <w:i/>
        </w:rPr>
        <w:t>departmentalismus</w:t>
      </w:r>
      <w:proofErr w:type="spellEnd"/>
      <w:r w:rsidRPr="00962D89">
        <w:rPr>
          <w:i/>
        </w:rPr>
        <w:t xml:space="preserve"> a </w:t>
      </w:r>
      <w:r w:rsidRPr="00962D89">
        <w:rPr>
          <w:b/>
          <w:i/>
        </w:rPr>
        <w:t>posílit strategické řídicí kapacity</w:t>
      </w:r>
      <w:r w:rsidRPr="00962D89">
        <w:rPr>
          <w:i/>
        </w:rPr>
        <w:t>, aby se zlepšila soudržnost napříč politikami. Podporovat spolupráci mezi obecními správami, mimo jiné poskytováním podpory na budování správních kapacit se zaměřením na strukturálně postižené regiony.</w:t>
      </w:r>
    </w:p>
    <w:p w:rsidR="00530C29" w:rsidRPr="00B73A06" w:rsidRDefault="00530C29" w:rsidP="00530C29">
      <w:pPr>
        <w:pStyle w:val="Odstavecseseznamem"/>
        <w:numPr>
          <w:ilvl w:val="0"/>
          <w:numId w:val="21"/>
        </w:numPr>
        <w:suppressAutoHyphens/>
        <w:autoSpaceDN w:val="0"/>
        <w:spacing w:after="120" w:line="254" w:lineRule="auto"/>
        <w:ind w:left="714" w:hanging="357"/>
        <w:contextualSpacing w:val="0"/>
        <w:jc w:val="both"/>
        <w:textAlignment w:val="baseline"/>
        <w:rPr>
          <w:i/>
        </w:rPr>
      </w:pPr>
      <w:r w:rsidRPr="00962D89">
        <w:rPr>
          <w:i/>
        </w:rPr>
        <w:t xml:space="preserve">Podpořit inovace </w:t>
      </w:r>
      <w:r w:rsidRPr="00962D89">
        <w:rPr>
          <w:b/>
          <w:i/>
        </w:rPr>
        <w:t>zlepšením transferu technologií z akademické obce do podniků</w:t>
      </w:r>
      <w:r w:rsidRPr="00962D89">
        <w:rPr>
          <w:i/>
        </w:rPr>
        <w:t xml:space="preserve">, podporou </w:t>
      </w:r>
      <w:r w:rsidRPr="00962D89">
        <w:rPr>
          <w:b/>
          <w:i/>
        </w:rPr>
        <w:t>vytváření odštěpených společností a začínajících podniků a zvýšením účasti na terciárním vzdělávání</w:t>
      </w:r>
      <w:r w:rsidRPr="00962D89">
        <w:rPr>
          <w:i/>
        </w:rPr>
        <w:t xml:space="preserve">. Posílit konkurenceschopnost ekonomiky </w:t>
      </w:r>
      <w:r w:rsidRPr="00962D89">
        <w:rPr>
          <w:b/>
          <w:i/>
        </w:rPr>
        <w:t>řeše</w:t>
      </w:r>
      <w:r>
        <w:rPr>
          <w:b/>
          <w:i/>
        </w:rPr>
        <w:t>ním nesouladu mezi nabízenými a </w:t>
      </w:r>
      <w:r w:rsidRPr="00962D89">
        <w:rPr>
          <w:b/>
          <w:i/>
        </w:rPr>
        <w:t>požadovanými dovednostmi</w:t>
      </w:r>
      <w:r w:rsidRPr="00962D89">
        <w:rPr>
          <w:i/>
        </w:rPr>
        <w:t>, zjednodušením uznávání zahraničních kvalifikací a zvýšením účasti nedostatečně zastoupených skupin.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86"/>
      </w:tblGrid>
      <w:tr w:rsidR="00530C29" w:rsidTr="00557275">
        <w:tc>
          <w:tcPr>
            <w:tcW w:w="0" w:type="auto"/>
            <w:shd w:val="clear" w:color="auto" w:fill="DEEAF6" w:themeFill="accent1" w:themeFillTint="33"/>
          </w:tcPr>
          <w:p w:rsidR="00530C29" w:rsidRPr="00564FE2" w:rsidRDefault="00530C29" w:rsidP="00557275">
            <w:pPr>
              <w:spacing w:after="120"/>
              <w:jc w:val="both"/>
              <w:rPr>
                <w:rFonts w:eastAsia="Calibri"/>
                <w:i/>
              </w:rPr>
            </w:pPr>
            <w:r w:rsidRPr="00564FE2">
              <w:rPr>
                <w:rFonts w:eastAsia="Calibri"/>
                <w:b/>
                <w:i/>
                <w:u w:val="single"/>
              </w:rPr>
              <w:t>Shrnutí Zprávy o Česku 2024</w:t>
            </w:r>
            <w:r w:rsidRPr="00564FE2">
              <w:rPr>
                <w:rFonts w:eastAsia="Calibri"/>
                <w:i/>
              </w:rPr>
              <w:t xml:space="preserve"> </w:t>
            </w:r>
          </w:p>
          <w:p w:rsidR="00530C29" w:rsidRDefault="00530C29" w:rsidP="00557275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Shrnutí poskytuje přehled klíčových ekonomických výzev a politických doporučení uvedených ve Zprávě o Česku 2024. Úplná zpráva obsahuje podrobnější analýzu a konkrétní politická opatření k řešení těchto problémů. </w:t>
            </w:r>
          </w:p>
          <w:p w:rsidR="00530C29" w:rsidRDefault="00530C29" w:rsidP="00557275">
            <w:pPr>
              <w:spacing w:after="120"/>
              <w:jc w:val="both"/>
              <w:rPr>
                <w:rFonts w:eastAsia="Calibri"/>
              </w:rPr>
            </w:pPr>
            <w:r w:rsidRPr="0029173F">
              <w:rPr>
                <w:rFonts w:eastAsia="Calibri"/>
                <w:b/>
              </w:rPr>
              <w:t>Hospodářský růst</w:t>
            </w:r>
            <w:r>
              <w:rPr>
                <w:rFonts w:eastAsia="Calibri"/>
              </w:rPr>
              <w:t xml:space="preserve"> Česka se potýká s problémy způsobenými vysokou inflací a nedostatkem pracovních sil. Míra inflace patřila k nejvyšším v EU – v roce 2022 činila 14,8 % a v roce 2023 jen o 2,8 % méně, a to 12 %. Tyto vysoké míry inflace vedly v roce 2023 k poklesu reálného HDP o 0,3 %. Spotřebitelské výdaje se pak snížily v důsledku snížené kupní síly a zvýšení preventivních úspor. </w:t>
            </w:r>
          </w:p>
          <w:p w:rsidR="00530C29" w:rsidRDefault="00530C29" w:rsidP="00557275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Česká národní banka v boji proti inflaci zpřísnila </w:t>
            </w:r>
            <w:r w:rsidRPr="0029173F">
              <w:rPr>
                <w:rFonts w:eastAsia="Calibri"/>
                <w:b/>
              </w:rPr>
              <w:t>měnovou politiku</w:t>
            </w:r>
            <w:r>
              <w:rPr>
                <w:rFonts w:eastAsia="Calibri"/>
              </w:rPr>
              <w:t>. To vedlo ke zpomalení stavebních aktivit, zejména bytové výstavby. Navzdory vyšším vstupním nákladům ale společnosti i nadále investovaly do vybavení, a to díky kumulovaným úsporám. Veřejné investice podporované z fondů EU pak pomohly celkovému růstu investic v ekonomice, v roce 2023, o 4,0 %.</w:t>
            </w:r>
          </w:p>
          <w:p w:rsidR="00530C29" w:rsidRDefault="00530C29" w:rsidP="00557275">
            <w:pPr>
              <w:spacing w:after="120"/>
              <w:jc w:val="both"/>
              <w:rPr>
                <w:rFonts w:eastAsia="Calibri"/>
              </w:rPr>
            </w:pPr>
            <w:r w:rsidRPr="0029173F">
              <w:rPr>
                <w:rFonts w:eastAsia="Calibri"/>
                <w:b/>
              </w:rPr>
              <w:t>Trh práce</w:t>
            </w:r>
            <w:r>
              <w:rPr>
                <w:rFonts w:eastAsia="Calibri"/>
              </w:rPr>
              <w:t xml:space="preserve"> zažívá značné napětí kvůli nedostatku pracovníků. Česko musí tento problém řešit, aby podpořila hospodářský růst a produktivitu. </w:t>
            </w:r>
          </w:p>
          <w:p w:rsidR="00530C29" w:rsidRDefault="00530C29" w:rsidP="00557275">
            <w:pPr>
              <w:spacing w:after="120"/>
              <w:jc w:val="both"/>
              <w:rPr>
                <w:rFonts w:eastAsia="Calibri"/>
              </w:rPr>
            </w:pPr>
            <w:r w:rsidRPr="0029173F">
              <w:rPr>
                <w:rFonts w:eastAsia="Calibri"/>
                <w:b/>
              </w:rPr>
              <w:lastRenderedPageBreak/>
              <w:t>Dekarbonizace</w:t>
            </w:r>
            <w:r>
              <w:rPr>
                <w:rFonts w:eastAsia="Calibri"/>
              </w:rPr>
              <w:t xml:space="preserve"> představuje pro českou ekonomiku značnou výzvu. Přechod na zelenější (ekologičtější) ekonomiku je nezbytný, ale vyžaduje značné investice a strukturální změny. </w:t>
            </w:r>
          </w:p>
          <w:p w:rsidR="00530C29" w:rsidRPr="009E6E59" w:rsidRDefault="00530C29" w:rsidP="00557275">
            <w:pPr>
              <w:spacing w:after="120"/>
              <w:jc w:val="both"/>
              <w:rPr>
                <w:rFonts w:eastAsia="Calibri"/>
                <w:highlight w:val="yellow"/>
              </w:rPr>
            </w:pPr>
            <w:r w:rsidRPr="009E6E59">
              <w:rPr>
                <w:rFonts w:eastAsia="Calibri"/>
              </w:rPr>
              <w:t xml:space="preserve">Dále Zpráva informuje také o </w:t>
            </w:r>
            <w:r w:rsidRPr="009E6E59">
              <w:rPr>
                <w:rFonts w:eastAsia="Calibri"/>
                <w:b/>
              </w:rPr>
              <w:t>plnění cílů udržitelného rozvoje</w:t>
            </w:r>
            <w:r w:rsidRPr="009E6E59">
              <w:rPr>
                <w:rFonts w:eastAsia="Calibri"/>
              </w:rPr>
              <w:t xml:space="preserve"> (</w:t>
            </w:r>
            <w:proofErr w:type="spellStart"/>
            <w:r w:rsidRPr="009E6E59">
              <w:rPr>
                <w:rFonts w:eastAsia="Calibri"/>
                <w:i/>
              </w:rPr>
              <w:t>Sustainable</w:t>
            </w:r>
            <w:proofErr w:type="spellEnd"/>
            <w:r w:rsidRPr="009E6E59">
              <w:rPr>
                <w:rFonts w:eastAsia="Calibri"/>
                <w:i/>
              </w:rPr>
              <w:t xml:space="preserve"> </w:t>
            </w:r>
            <w:proofErr w:type="spellStart"/>
            <w:r w:rsidRPr="009E6E59">
              <w:rPr>
                <w:rFonts w:eastAsia="Calibri"/>
                <w:i/>
              </w:rPr>
              <w:t>Development</w:t>
            </w:r>
            <w:proofErr w:type="spellEnd"/>
            <w:r w:rsidRPr="009E6E59">
              <w:rPr>
                <w:rFonts w:eastAsia="Calibri"/>
                <w:i/>
              </w:rPr>
              <w:t xml:space="preserve"> </w:t>
            </w:r>
            <w:proofErr w:type="spellStart"/>
            <w:r w:rsidRPr="009E6E59">
              <w:rPr>
                <w:rFonts w:eastAsia="Calibri"/>
                <w:i/>
              </w:rPr>
              <w:t>Goals</w:t>
            </w:r>
            <w:proofErr w:type="spellEnd"/>
            <w:r w:rsidRPr="009E6E59">
              <w:rPr>
                <w:rFonts w:eastAsia="Calibri"/>
              </w:rPr>
              <w:t xml:space="preserve">, </w:t>
            </w:r>
            <w:proofErr w:type="spellStart"/>
            <w:r w:rsidRPr="009E6E59">
              <w:rPr>
                <w:rFonts w:eastAsia="Calibri"/>
              </w:rPr>
              <w:t>SDGs</w:t>
            </w:r>
            <w:proofErr w:type="spellEnd"/>
            <w:r w:rsidRPr="009E6E59">
              <w:rPr>
                <w:rFonts w:eastAsia="Calibri"/>
              </w:rPr>
              <w:t>), ke kterým Č</w:t>
            </w:r>
            <w:r>
              <w:rPr>
                <w:rFonts w:eastAsia="Calibri"/>
              </w:rPr>
              <w:t>esko</w:t>
            </w:r>
            <w:r w:rsidRPr="009E6E59">
              <w:rPr>
                <w:rFonts w:eastAsia="Calibri"/>
              </w:rPr>
              <w:t xml:space="preserve"> sice směřuje, ale stále zaostává v některých oblastech, zejména v oblasti genderové vyváženosti a klimatu. </w:t>
            </w:r>
          </w:p>
          <w:p w:rsidR="00530C29" w:rsidRDefault="00530C29" w:rsidP="00557275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Politická doporučení jsou následovná:</w:t>
            </w:r>
          </w:p>
          <w:tbl>
            <w:tblPr>
              <w:tblStyle w:val="Barevntabulkasmkou6zvraznn5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6634"/>
            </w:tblGrid>
            <w:tr w:rsidR="00530C29" w:rsidTr="005572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</w:tcPr>
                <w:p w:rsidR="00530C29" w:rsidRDefault="00530C29" w:rsidP="00557275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Hospodářské politiky: </w:t>
                  </w:r>
                </w:p>
              </w:tc>
              <w:tc>
                <w:tcPr>
                  <w:tcW w:w="6683" w:type="dxa"/>
                </w:tcPr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6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p</w:t>
                  </w:r>
                  <w:r w:rsidRPr="0029173F">
                    <w:rPr>
                      <w:b w:val="0"/>
                    </w:rPr>
                    <w:t>okračovat v podpoře hospodářského oživení a řešit inflaci</w:t>
                  </w:r>
                </w:p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6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b w:val="0"/>
                    </w:rPr>
                    <w:t>p</w:t>
                  </w:r>
                  <w:r w:rsidRPr="0029173F">
                    <w:rPr>
                      <w:b w:val="0"/>
                    </w:rPr>
                    <w:t>osílit opatření ke zlepšení kupní síly spotřebitelů a stimulaci výdajů</w:t>
                  </w:r>
                </w:p>
              </w:tc>
            </w:tr>
            <w:tr w:rsidR="00530C29" w:rsidTr="005572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</w:tcPr>
                <w:p w:rsidR="00530C29" w:rsidRDefault="00530C29" w:rsidP="00557275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Reformy trhu práce: </w:t>
                  </w:r>
                </w:p>
              </w:tc>
              <w:tc>
                <w:tcPr>
                  <w:tcW w:w="6683" w:type="dxa"/>
                </w:tcPr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7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</w:t>
                  </w:r>
                  <w:r w:rsidRPr="0029173F">
                    <w:t xml:space="preserve">rovádět politiky ke </w:t>
                  </w:r>
                  <w:r>
                    <w:t>zmírnění nedostatku pracovníků</w:t>
                  </w:r>
                </w:p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7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</w:t>
                  </w:r>
                  <w:r w:rsidRPr="0029173F">
                    <w:t>odporovat účast pracovní síly prostřednictvím iniciativ v oblasti</w:t>
                  </w:r>
                  <w:r>
                    <w:t xml:space="preserve"> odborné přípravy a vzdělávání</w:t>
                  </w:r>
                </w:p>
              </w:tc>
            </w:tr>
            <w:tr w:rsidR="00530C29" w:rsidTr="005572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</w:tcPr>
                <w:p w:rsidR="00530C29" w:rsidRDefault="00530C29" w:rsidP="00557275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Úsilí o dekarbonizaci</w:t>
                  </w:r>
                </w:p>
              </w:tc>
              <w:tc>
                <w:tcPr>
                  <w:tcW w:w="6683" w:type="dxa"/>
                </w:tcPr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8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</w:t>
                  </w:r>
                  <w:r w:rsidRPr="0029173F">
                    <w:t>nvestovat do ekologickýc</w:t>
                  </w:r>
                  <w:r>
                    <w:t>h technologií a infrastruktury</w:t>
                  </w:r>
                </w:p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8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  <w:r w:rsidRPr="0029173F">
                    <w:t>snadnit přechod na nízkouhlíkové hospodář</w:t>
                  </w:r>
                  <w:r>
                    <w:t>ství, aby byly splněny cíle EU</w:t>
                  </w:r>
                </w:p>
              </w:tc>
            </w:tr>
            <w:tr w:rsidR="00530C29" w:rsidTr="005572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</w:tcPr>
                <w:p w:rsidR="00530C29" w:rsidRDefault="00530C29" w:rsidP="00557275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Investice a strukturální reformy</w:t>
                  </w:r>
                </w:p>
              </w:tc>
              <w:tc>
                <w:tcPr>
                  <w:tcW w:w="6683" w:type="dxa"/>
                </w:tcPr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9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u</w:t>
                  </w:r>
                  <w:r w:rsidRPr="0029173F">
                    <w:t>držet vysokou úroveň v</w:t>
                  </w:r>
                  <w:r>
                    <w:t>eřejných a soukromých investic</w:t>
                  </w:r>
                </w:p>
                <w:p w:rsidR="00530C29" w:rsidRPr="0029173F" w:rsidRDefault="00530C29" w:rsidP="00530C29">
                  <w:pPr>
                    <w:pStyle w:val="Odstavecseseznamem"/>
                    <w:keepNext/>
                    <w:keepLines/>
                    <w:numPr>
                      <w:ilvl w:val="0"/>
                      <w:numId w:val="39"/>
                    </w:numPr>
                    <w:suppressAutoHyphens/>
                    <w:autoSpaceDN w:val="0"/>
                    <w:spacing w:after="0" w:line="254" w:lineRule="auto"/>
                    <w:contextualSpacing w:val="0"/>
                    <w:jc w:val="both"/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z</w:t>
                  </w:r>
                  <w:r w:rsidRPr="0029173F">
                    <w:t>aměřit se na strukturální reformy s cílem zvýšit pro</w:t>
                  </w:r>
                  <w:r>
                    <w:t>duktivitu a odolnost ekonomiky</w:t>
                  </w:r>
                </w:p>
              </w:tc>
            </w:tr>
            <w:tr w:rsidR="00530C29" w:rsidTr="0055727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35" w:type="dxa"/>
                </w:tcPr>
                <w:p w:rsidR="00530C29" w:rsidRDefault="00530C29" w:rsidP="00557275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Sociální politika a politika zaměstnanosti </w:t>
                  </w:r>
                </w:p>
              </w:tc>
              <w:tc>
                <w:tcPr>
                  <w:tcW w:w="6683" w:type="dxa"/>
                </w:tcPr>
                <w:p w:rsidR="00530C29" w:rsidRPr="00F83345" w:rsidRDefault="00530C29" w:rsidP="00530C29">
                  <w:pPr>
                    <w:pStyle w:val="Nadpis1"/>
                    <w:numPr>
                      <w:ilvl w:val="0"/>
                      <w:numId w:val="40"/>
                    </w:numPr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/>
                      <w:b w:val="0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lang w:eastAsia="en-US"/>
                    </w:rPr>
                    <w:t>p</w:t>
                  </w:r>
                  <w:r w:rsidRPr="00F83345">
                    <w:rPr>
                      <w:rFonts w:eastAsia="Calibri"/>
                      <w:b w:val="0"/>
                      <w:lang w:eastAsia="en-US"/>
                    </w:rPr>
                    <w:t>osílit sociální politiky na podporu zranitelných skupin obyvatelstva</w:t>
                  </w:r>
                </w:p>
                <w:p w:rsidR="00530C29" w:rsidRPr="00B73A06" w:rsidRDefault="00530C29" w:rsidP="00530C29">
                  <w:pPr>
                    <w:pStyle w:val="Nadpis1"/>
                    <w:numPr>
                      <w:ilvl w:val="0"/>
                      <w:numId w:val="40"/>
                    </w:numPr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/>
                      <w:b w:val="0"/>
                      <w:lang w:eastAsia="en-US"/>
                    </w:rPr>
                  </w:pPr>
                  <w:r>
                    <w:rPr>
                      <w:rFonts w:eastAsia="Calibri"/>
                      <w:b w:val="0"/>
                      <w:lang w:eastAsia="en-US"/>
                    </w:rPr>
                    <w:t>p</w:t>
                  </w:r>
                  <w:r w:rsidRPr="00F83345">
                    <w:rPr>
                      <w:rFonts w:eastAsia="Calibri"/>
                      <w:b w:val="0"/>
                      <w:lang w:eastAsia="en-US"/>
                    </w:rPr>
                    <w:t>odporovat růst podporující začlenění a</w:t>
                  </w:r>
                  <w:r>
                    <w:rPr>
                      <w:rFonts w:eastAsia="Calibri"/>
                      <w:b w:val="0"/>
                      <w:lang w:eastAsia="en-US"/>
                    </w:rPr>
                    <w:t xml:space="preserve"> snižování sociální </w:t>
                  </w:r>
                  <w:r w:rsidRPr="00B73A06">
                    <w:rPr>
                      <w:rFonts w:eastAsia="Calibri"/>
                      <w:b w:val="0"/>
                      <w:lang w:eastAsia="en-US"/>
                    </w:rPr>
                    <w:t>nerovnosti</w:t>
                  </w:r>
                </w:p>
              </w:tc>
            </w:tr>
          </w:tbl>
          <w:p w:rsidR="00530C29" w:rsidRDefault="00530C29" w:rsidP="00557275">
            <w:pPr>
              <w:jc w:val="both"/>
              <w:rPr>
                <w:rFonts w:eastAsia="Calibri"/>
              </w:rPr>
            </w:pPr>
            <w:r w:rsidRPr="00B73A06">
              <w:rPr>
                <w:rFonts w:eastAsia="Calibri"/>
                <w:color w:val="D9E2F3" w:themeColor="accent5" w:themeTint="33"/>
              </w:rPr>
              <w:t>.</w:t>
            </w:r>
          </w:p>
        </w:tc>
      </w:tr>
    </w:tbl>
    <w:p w:rsidR="00530C29" w:rsidRDefault="00530C29" w:rsidP="00530C29">
      <w:pPr>
        <w:spacing w:after="120"/>
        <w:jc w:val="both"/>
      </w:pPr>
    </w:p>
    <w:p w:rsidR="00530C29" w:rsidRPr="0048126F" w:rsidRDefault="00530C29" w:rsidP="00530C29">
      <w:pPr>
        <w:pStyle w:val="Nadpis1"/>
      </w:pPr>
      <w:bookmarkStart w:id="18" w:name="_Toc445380613"/>
      <w:bookmarkStart w:id="19" w:name="_Toc448302192"/>
      <w:r w:rsidRPr="0048126F">
        <w:t>Předpokládaný harmonogram projednávání v orgánech EU:</w:t>
      </w:r>
      <w:bookmarkEnd w:id="18"/>
      <w:bookmarkEnd w:id="19"/>
    </w:p>
    <w:p w:rsidR="00530C29" w:rsidRPr="009E6E59" w:rsidRDefault="00530C29" w:rsidP="00530C29">
      <w:pPr>
        <w:spacing w:after="120"/>
        <w:jc w:val="both"/>
      </w:pPr>
      <w:r w:rsidRPr="009E6E59">
        <w:t>Dne 21. června 2024 představila Komise Radě pro hospodářské a finanční věci jarní balíček evropského semestru 2024, který obsahuje i doporučení pro jednotlivé země. Balíček byl vzat na vědomí a jeho podrobnější analýza proběhne na zasedání 16. července 2024.</w:t>
      </w:r>
    </w:p>
    <w:p w:rsidR="00530C29" w:rsidRDefault="00530C29" w:rsidP="00530C29">
      <w:pPr>
        <w:jc w:val="both"/>
      </w:pPr>
      <w:r w:rsidRPr="00A765D2">
        <w:t xml:space="preserve">V Evropském parlamentu se projednávání dokumentů nachází v přípravné fázi. Odpovědným výborem je výbor pro hospodářské a rozpočtové záležitosti (ECON). O stanovisko byly požádány rozpočtový výbor (BUDG) a výbor pro zaměstnanost a sociální věci (EMPL). Stav projednávání je možné sledovat </w:t>
      </w:r>
      <w:hyperlink r:id="rId15" w:history="1">
        <w:r w:rsidRPr="00A765D2">
          <w:rPr>
            <w:rStyle w:val="Hypertextovodkaz"/>
          </w:rPr>
          <w:t>zde</w:t>
        </w:r>
      </w:hyperlink>
      <w:r w:rsidRPr="00A765D2">
        <w:t>.</w:t>
      </w:r>
    </w:p>
    <w:p w:rsidR="00530C29" w:rsidRDefault="00530C29" w:rsidP="00530C29">
      <w:pPr>
        <w:spacing w:after="120"/>
        <w:jc w:val="both"/>
      </w:pPr>
    </w:p>
    <w:p w:rsidR="00530C29" w:rsidRDefault="00530C29" w:rsidP="00530C29">
      <w:pPr>
        <w:spacing w:after="120"/>
        <w:jc w:val="both"/>
      </w:pPr>
    </w:p>
    <w:p w:rsidR="00530C29" w:rsidRDefault="00530C29" w:rsidP="00530C29">
      <w:pPr>
        <w:spacing w:after="120"/>
        <w:jc w:val="both"/>
      </w:pPr>
    </w:p>
    <w:p w:rsidR="00530C29" w:rsidRDefault="00530C29" w:rsidP="00530C29">
      <w:pPr>
        <w:spacing w:after="120"/>
        <w:jc w:val="both"/>
      </w:pPr>
    </w:p>
    <w:p w:rsidR="00530C29" w:rsidRPr="00B15DEA" w:rsidRDefault="00530C29" w:rsidP="00530C29">
      <w:pPr>
        <w:jc w:val="both"/>
      </w:pPr>
      <w:r w:rsidRPr="00B15DEA">
        <w:t>Ve spolupráci s</w:t>
      </w:r>
      <w:r>
        <w:t>e</w:t>
      </w:r>
      <w:r w:rsidRPr="00B15DEA">
        <w:t xml:space="preserve"> </w:t>
      </w:r>
      <w:r>
        <w:t xml:space="preserve">zpravodajem </w:t>
      </w:r>
      <w:r w:rsidRPr="00B15DEA">
        <w:t xml:space="preserve">výboru pro evropské záležitosti </w:t>
      </w:r>
      <w:r>
        <w:t xml:space="preserve">Ondřejem </w:t>
      </w:r>
      <w:proofErr w:type="spellStart"/>
      <w:r>
        <w:t>Benešíkem</w:t>
      </w:r>
      <w:proofErr w:type="spellEnd"/>
      <w:r>
        <w:t xml:space="preserve"> </w:t>
      </w:r>
      <w:r w:rsidRPr="00B15DEA">
        <w:t xml:space="preserve">zpracovala </w:t>
      </w:r>
      <w:r>
        <w:t>Ing. Klára Jankovská</w:t>
      </w:r>
      <w:r w:rsidRPr="00B15DEA">
        <w:t>, odborná konzultantka Parlamentního institutu Kanceláře PS PČR.</w:t>
      </w:r>
      <w:bookmarkEnd w:id="1"/>
      <w:bookmarkEnd w:id="2"/>
      <w:bookmarkEnd w:id="3"/>
      <w:bookmarkEnd w:id="4"/>
      <w:bookmarkEnd w:id="5"/>
      <w:bookmarkEnd w:id="6"/>
    </w:p>
    <w:p w:rsidR="00530C29" w:rsidRDefault="00530C29" w:rsidP="00D066DF">
      <w:pPr>
        <w:spacing w:after="0" w:line="240" w:lineRule="auto"/>
        <w:rPr>
          <w:rFonts w:asciiTheme="minorHAnsi" w:hAnsiTheme="minorHAnsi"/>
        </w:rPr>
      </w:pPr>
    </w:p>
    <w:sectPr w:rsidR="00530C29" w:rsidSect="00563B5A"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5A" w:rsidRDefault="00563B5A" w:rsidP="00563B5A">
      <w:pPr>
        <w:spacing w:after="0" w:line="240" w:lineRule="auto"/>
      </w:pPr>
      <w:r>
        <w:separator/>
      </w:r>
    </w:p>
  </w:endnote>
  <w:endnote w:type="continuationSeparator" w:id="0">
    <w:p w:rsidR="00563B5A" w:rsidRDefault="00563B5A" w:rsidP="0056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652567428"/>
      <w:docPartObj>
        <w:docPartGallery w:val="Page Numbers (Bottom of Page)"/>
        <w:docPartUnique/>
      </w:docPartObj>
    </w:sdtPr>
    <w:sdtEndPr/>
    <w:sdtContent>
      <w:p w:rsidR="00563B5A" w:rsidRPr="00563B5A" w:rsidRDefault="00563B5A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563B5A">
          <w:rPr>
            <w:rFonts w:ascii="Times New Roman" w:hAnsi="Times New Roman"/>
            <w:sz w:val="24"/>
            <w:szCs w:val="24"/>
          </w:rPr>
          <w:fldChar w:fldCharType="begin"/>
        </w:r>
        <w:r w:rsidRPr="00563B5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63B5A">
          <w:rPr>
            <w:rFonts w:ascii="Times New Roman" w:hAnsi="Times New Roman"/>
            <w:sz w:val="24"/>
            <w:szCs w:val="24"/>
          </w:rPr>
          <w:fldChar w:fldCharType="separate"/>
        </w:r>
        <w:r w:rsidR="00AB3589">
          <w:rPr>
            <w:rFonts w:ascii="Times New Roman" w:hAnsi="Times New Roman"/>
            <w:noProof/>
            <w:sz w:val="24"/>
            <w:szCs w:val="24"/>
          </w:rPr>
          <w:t>1</w:t>
        </w:r>
        <w:r w:rsidRPr="00563B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3B5A" w:rsidRDefault="00563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5A" w:rsidRDefault="00563B5A" w:rsidP="00563B5A">
      <w:pPr>
        <w:spacing w:after="0" w:line="240" w:lineRule="auto"/>
      </w:pPr>
      <w:r>
        <w:separator/>
      </w:r>
    </w:p>
  </w:footnote>
  <w:footnote w:type="continuationSeparator" w:id="0">
    <w:p w:rsidR="00563B5A" w:rsidRDefault="00563B5A" w:rsidP="00563B5A">
      <w:pPr>
        <w:spacing w:after="0" w:line="240" w:lineRule="auto"/>
      </w:pPr>
      <w:r>
        <w:continuationSeparator/>
      </w:r>
    </w:p>
  </w:footnote>
  <w:footnote w:id="1">
    <w:p w:rsidR="00530C29" w:rsidRDefault="00530C29" w:rsidP="00530C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Nástroj pro oživení a odolnost vznikl v roce 2020 jako ústřední bod plánu hospodářské obnovy po pandemii </w:t>
      </w:r>
      <w:r>
        <w:br/>
        <w:t xml:space="preserve">covidu-19 NextGenerationEU. Pomocí nástroje pro oživení a odolnost je Evropská komise schopna získat finanční prostředky na pomoc členským státům při provádění reforem a investic, které řeší problémy uvedené v doporučeních pro jednotlivé země. </w:t>
      </w:r>
    </w:p>
  </w:footnote>
  <w:footnote w:id="2">
    <w:p w:rsidR="00530C29" w:rsidRDefault="00530C29" w:rsidP="00530C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Plán Evropské unie na rychlé snížení závislosti na ruských fosilních palivech a urychlení ekologické transformace.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44063"/>
    <w:multiLevelType w:val="hybridMultilevel"/>
    <w:tmpl w:val="2E3630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B5437"/>
    <w:multiLevelType w:val="hybridMultilevel"/>
    <w:tmpl w:val="52B20F96"/>
    <w:lvl w:ilvl="0" w:tplc="EA0440B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DB294B"/>
    <w:multiLevelType w:val="hybridMultilevel"/>
    <w:tmpl w:val="C816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8E4"/>
    <w:multiLevelType w:val="multilevel"/>
    <w:tmpl w:val="F6A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5A79A5"/>
    <w:multiLevelType w:val="hybridMultilevel"/>
    <w:tmpl w:val="FF842328"/>
    <w:lvl w:ilvl="0" w:tplc="EA0440B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A91A09"/>
    <w:multiLevelType w:val="hybridMultilevel"/>
    <w:tmpl w:val="E7CE6B68"/>
    <w:lvl w:ilvl="0" w:tplc="D34ED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55449A8"/>
    <w:multiLevelType w:val="hybridMultilevel"/>
    <w:tmpl w:val="AD900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C65447"/>
    <w:multiLevelType w:val="hybridMultilevel"/>
    <w:tmpl w:val="76D41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6A5FF0"/>
    <w:multiLevelType w:val="hybridMultilevel"/>
    <w:tmpl w:val="A43ADBCA"/>
    <w:lvl w:ilvl="0" w:tplc="5A0CF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40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3C7A4C85"/>
    <w:multiLevelType w:val="hybridMultilevel"/>
    <w:tmpl w:val="A26A2BC8"/>
    <w:lvl w:ilvl="0" w:tplc="EA0440B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C7550"/>
    <w:multiLevelType w:val="hybridMultilevel"/>
    <w:tmpl w:val="17F2F8E0"/>
    <w:lvl w:ilvl="0" w:tplc="607256BE">
      <w:start w:val="1"/>
      <w:numFmt w:val="decimal"/>
      <w:lvlText w:val="%1)"/>
      <w:lvlJc w:val="left"/>
      <w:pPr>
        <w:ind w:left="720" w:hanging="360"/>
      </w:pPr>
      <w:rPr>
        <w:rFonts w:eastAsia="Times New Roman" w:cstheme="majorHAnsi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D03FF"/>
    <w:multiLevelType w:val="hybridMultilevel"/>
    <w:tmpl w:val="0F6CF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C60E0"/>
    <w:multiLevelType w:val="hybridMultilevel"/>
    <w:tmpl w:val="7688DA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5904FA"/>
    <w:multiLevelType w:val="hybridMultilevel"/>
    <w:tmpl w:val="063A24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B431D6"/>
    <w:multiLevelType w:val="hybridMultilevel"/>
    <w:tmpl w:val="7C4009AE"/>
    <w:lvl w:ilvl="0" w:tplc="2032779C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015CC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71A57"/>
    <w:multiLevelType w:val="hybridMultilevel"/>
    <w:tmpl w:val="424CB034"/>
    <w:lvl w:ilvl="0" w:tplc="778E2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33C29"/>
    <w:multiLevelType w:val="hybridMultilevel"/>
    <w:tmpl w:val="5712D262"/>
    <w:lvl w:ilvl="0" w:tplc="39DAC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84442"/>
    <w:multiLevelType w:val="hybridMultilevel"/>
    <w:tmpl w:val="B27E351E"/>
    <w:lvl w:ilvl="0" w:tplc="EA0440B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72E1E"/>
    <w:multiLevelType w:val="multilevel"/>
    <w:tmpl w:val="C32E4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A3368"/>
    <w:multiLevelType w:val="hybridMultilevel"/>
    <w:tmpl w:val="C7C2F542"/>
    <w:lvl w:ilvl="0" w:tplc="EA0440B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0376BA"/>
    <w:multiLevelType w:val="hybridMultilevel"/>
    <w:tmpl w:val="D046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566FE"/>
    <w:multiLevelType w:val="hybridMultilevel"/>
    <w:tmpl w:val="07188B2E"/>
    <w:lvl w:ilvl="0" w:tplc="D7488604">
      <w:numFmt w:val="bullet"/>
      <w:lvlText w:val="-"/>
      <w:lvlJc w:val="left"/>
      <w:pPr>
        <w:ind w:left="644" w:hanging="360"/>
      </w:pPr>
      <w:rPr>
        <w:rFonts w:ascii="Calibri Light" w:eastAsia="Calibri" w:hAnsi="Calibri Light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7"/>
  </w:num>
  <w:num w:numId="20">
    <w:abstractNumId w:val="34"/>
  </w:num>
  <w:num w:numId="21">
    <w:abstractNumId w:val="33"/>
  </w:num>
  <w:num w:numId="22">
    <w:abstractNumId w:val="29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4"/>
  </w:num>
  <w:num w:numId="27">
    <w:abstractNumId w:val="3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4"/>
  </w:num>
  <w:num w:numId="31">
    <w:abstractNumId w:val="3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3"/>
  </w:num>
  <w:num w:numId="35">
    <w:abstractNumId w:val="11"/>
  </w:num>
  <w:num w:numId="36">
    <w:abstractNumId w:val="12"/>
  </w:num>
  <w:num w:numId="37">
    <w:abstractNumId w:val="30"/>
  </w:num>
  <w:num w:numId="38">
    <w:abstractNumId w:val="22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E20"/>
    <w:rsid w:val="000476E4"/>
    <w:rsid w:val="00067407"/>
    <w:rsid w:val="000926F8"/>
    <w:rsid w:val="000C5278"/>
    <w:rsid w:val="000E730C"/>
    <w:rsid w:val="00103C04"/>
    <w:rsid w:val="00106842"/>
    <w:rsid w:val="00117F06"/>
    <w:rsid w:val="00136646"/>
    <w:rsid w:val="00160BDE"/>
    <w:rsid w:val="00196873"/>
    <w:rsid w:val="001A2728"/>
    <w:rsid w:val="001B45F3"/>
    <w:rsid w:val="001E6E20"/>
    <w:rsid w:val="002254B7"/>
    <w:rsid w:val="00230024"/>
    <w:rsid w:val="00253585"/>
    <w:rsid w:val="00254049"/>
    <w:rsid w:val="00272E1B"/>
    <w:rsid w:val="002A2F32"/>
    <w:rsid w:val="002B0FB6"/>
    <w:rsid w:val="002B60B3"/>
    <w:rsid w:val="002C6BED"/>
    <w:rsid w:val="002F5F4A"/>
    <w:rsid w:val="00356011"/>
    <w:rsid w:val="00377253"/>
    <w:rsid w:val="003A1DF9"/>
    <w:rsid w:val="003D2033"/>
    <w:rsid w:val="003D4E18"/>
    <w:rsid w:val="004E49F4"/>
    <w:rsid w:val="005049BB"/>
    <w:rsid w:val="005227BF"/>
    <w:rsid w:val="00530C29"/>
    <w:rsid w:val="00536D79"/>
    <w:rsid w:val="00563B5A"/>
    <w:rsid w:val="00566A4C"/>
    <w:rsid w:val="00597608"/>
    <w:rsid w:val="005C30D7"/>
    <w:rsid w:val="005E094C"/>
    <w:rsid w:val="005F4FD2"/>
    <w:rsid w:val="005F6CAE"/>
    <w:rsid w:val="00600147"/>
    <w:rsid w:val="00601031"/>
    <w:rsid w:val="0061035F"/>
    <w:rsid w:val="00620764"/>
    <w:rsid w:val="00630AC0"/>
    <w:rsid w:val="0065217E"/>
    <w:rsid w:val="00656C37"/>
    <w:rsid w:val="006626E6"/>
    <w:rsid w:val="0066347F"/>
    <w:rsid w:val="006B3D3C"/>
    <w:rsid w:val="006C7E53"/>
    <w:rsid w:val="006D769E"/>
    <w:rsid w:val="006F7E76"/>
    <w:rsid w:val="007175B4"/>
    <w:rsid w:val="00751019"/>
    <w:rsid w:val="007C62DA"/>
    <w:rsid w:val="007D5EE1"/>
    <w:rsid w:val="007E1D0B"/>
    <w:rsid w:val="007F23FD"/>
    <w:rsid w:val="00812496"/>
    <w:rsid w:val="00830BFE"/>
    <w:rsid w:val="008471B9"/>
    <w:rsid w:val="0086505D"/>
    <w:rsid w:val="00893C29"/>
    <w:rsid w:val="00903269"/>
    <w:rsid w:val="00905C45"/>
    <w:rsid w:val="00980189"/>
    <w:rsid w:val="009819ED"/>
    <w:rsid w:val="00A46CDA"/>
    <w:rsid w:val="00A5537F"/>
    <w:rsid w:val="00A64D82"/>
    <w:rsid w:val="00A77C39"/>
    <w:rsid w:val="00A93982"/>
    <w:rsid w:val="00AA0D27"/>
    <w:rsid w:val="00AB3589"/>
    <w:rsid w:val="00AB7BA1"/>
    <w:rsid w:val="00B13892"/>
    <w:rsid w:val="00B23BB8"/>
    <w:rsid w:val="00B4108A"/>
    <w:rsid w:val="00B53E8D"/>
    <w:rsid w:val="00B715B6"/>
    <w:rsid w:val="00BA00F3"/>
    <w:rsid w:val="00BA0357"/>
    <w:rsid w:val="00C56014"/>
    <w:rsid w:val="00C5731A"/>
    <w:rsid w:val="00C63E0F"/>
    <w:rsid w:val="00C94047"/>
    <w:rsid w:val="00CA53B2"/>
    <w:rsid w:val="00D03251"/>
    <w:rsid w:val="00D066DF"/>
    <w:rsid w:val="00D200A8"/>
    <w:rsid w:val="00D22B48"/>
    <w:rsid w:val="00D43E93"/>
    <w:rsid w:val="00D46ACA"/>
    <w:rsid w:val="00D76FB3"/>
    <w:rsid w:val="00DC29E4"/>
    <w:rsid w:val="00E46EFB"/>
    <w:rsid w:val="00ED15A8"/>
    <w:rsid w:val="00EF0C30"/>
    <w:rsid w:val="00EF3B15"/>
    <w:rsid w:val="00EF679B"/>
    <w:rsid w:val="00F14096"/>
    <w:rsid w:val="00F65B55"/>
    <w:rsid w:val="00FB7B18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7CE"/>
  <w15:docId w15:val="{5A5FC67C-6312-4D8D-B947-AE23D0B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D4E18"/>
    <w:pPr>
      <w:numPr>
        <w:numId w:val="19"/>
      </w:numPr>
      <w:spacing w:after="0" w:line="240" w:lineRule="auto"/>
      <w:ind w:left="0"/>
      <w:outlineLvl w:val="0"/>
    </w:pPr>
    <w:rPr>
      <w:rFonts w:asciiTheme="majorHAnsi" w:eastAsia="Times New Roman" w:hAnsiTheme="majorHAnsi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styleId="Zdraznn">
    <w:name w:val="Emphasis"/>
    <w:uiPriority w:val="20"/>
    <w:qFormat/>
    <w:rsid w:val="00B4108A"/>
    <w:rPr>
      <w:rFonts w:ascii="Times New Roman" w:hAnsi="Times New Roman" w:cs="Times New Roman" w:hint="default"/>
      <w:i/>
      <w:iCs/>
    </w:rPr>
  </w:style>
  <w:style w:type="paragraph" w:customStyle="1" w:styleId="rmeek">
    <w:name w:val="rámeček"/>
    <w:basedOn w:val="Normln"/>
    <w:qFormat/>
    <w:rsid w:val="00B410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rozen">
    <w:name w:val="rozšířené"/>
    <w:uiPriority w:val="1"/>
    <w:qFormat/>
    <w:rsid w:val="00B4108A"/>
    <w:rPr>
      <w:b/>
      <w:bCs w:val="0"/>
      <w:spacing w:val="60"/>
    </w:rPr>
  </w:style>
  <w:style w:type="paragraph" w:styleId="Odstavecseseznamem">
    <w:name w:val="List Paragraph"/>
    <w:basedOn w:val="Normln"/>
    <w:qFormat/>
    <w:rsid w:val="006D769E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B5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B5A"/>
    <w:rPr>
      <w:sz w:val="22"/>
      <w:szCs w:val="22"/>
      <w:lang w:eastAsia="en-US"/>
    </w:rPr>
  </w:style>
  <w:style w:type="paragraph" w:customStyle="1" w:styleId="DefaultText">
    <w:name w:val="Default Text"/>
    <w:qFormat/>
    <w:rsid w:val="004E49F4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3D4E18"/>
    <w:rPr>
      <w:rFonts w:asciiTheme="majorHAnsi" w:eastAsia="Times New Roman" w:hAnsiTheme="majorHAnsi"/>
      <w:b/>
      <w:sz w:val="24"/>
    </w:rPr>
  </w:style>
  <w:style w:type="character" w:styleId="Hypertextovodkaz">
    <w:name w:val="Hyperlink"/>
    <w:uiPriority w:val="99"/>
    <w:unhideWhenUsed/>
    <w:rsid w:val="003D4E18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D4E18"/>
    <w:pPr>
      <w:tabs>
        <w:tab w:val="right" w:leader="dot" w:pos="9344"/>
      </w:tabs>
      <w:spacing w:before="120" w:after="120" w:line="240" w:lineRule="auto"/>
      <w:ind w:left="567" w:hanging="567"/>
    </w:pPr>
    <w:rPr>
      <w:rFonts w:asciiTheme="minorHAnsi" w:eastAsia="Times New Roman" w:hAnsiTheme="minorHAnsi"/>
      <w:b/>
      <w:bCs/>
      <w:sz w:val="20"/>
      <w:szCs w:val="20"/>
      <w:lang w:eastAsia="cs-CZ"/>
    </w:rPr>
  </w:style>
  <w:style w:type="paragraph" w:customStyle="1" w:styleId="NZEVPRCE">
    <w:name w:val="NÁZEV PRÁCE"/>
    <w:basedOn w:val="Normln"/>
    <w:qFormat/>
    <w:rsid w:val="003D4E18"/>
    <w:pPr>
      <w:spacing w:before="240" w:after="240" w:line="240" w:lineRule="auto"/>
      <w:ind w:right="176"/>
    </w:pPr>
    <w:rPr>
      <w:rFonts w:ascii="Calibri Light" w:hAnsi="Calibri Light" w:cs="Arial"/>
      <w:b/>
      <w:color w:val="1F4E79" w:themeColor="accent1" w:themeShade="80"/>
      <w:sz w:val="44"/>
      <w:szCs w:val="36"/>
    </w:rPr>
  </w:style>
  <w:style w:type="paragraph" w:customStyle="1" w:styleId="PODNZEVPRCE">
    <w:name w:val="PODNÁZEV PRÁCE"/>
    <w:basedOn w:val="Normln"/>
    <w:qFormat/>
    <w:rsid w:val="003D4E18"/>
    <w:pPr>
      <w:spacing w:after="0" w:line="240" w:lineRule="auto"/>
    </w:pPr>
    <w:rPr>
      <w:rFonts w:asciiTheme="majorHAnsi" w:hAnsiTheme="majorHAnsi"/>
      <w:color w:val="1F4E79" w:themeColor="accent1" w:themeShade="80"/>
      <w:sz w:val="28"/>
      <w:szCs w:val="28"/>
    </w:rPr>
  </w:style>
  <w:style w:type="paragraph" w:customStyle="1" w:styleId="ZHLAVTITULKY">
    <w:name w:val="ZÁHLAVÍ TITULKY"/>
    <w:basedOn w:val="Normln"/>
    <w:qFormat/>
    <w:rsid w:val="003D4E18"/>
    <w:pPr>
      <w:spacing w:after="0" w:line="240" w:lineRule="auto"/>
    </w:pPr>
    <w:rPr>
      <w:rFonts w:eastAsia="Times New Roman" w:cs="Arial"/>
      <w:b/>
      <w:color w:val="1F4E79" w:themeColor="accent1" w:themeShade="80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3D4E1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B3D3C"/>
    <w:rPr>
      <w:color w:val="954F72" w:themeColor="followedHyperlink"/>
      <w:u w:val="single"/>
    </w:rPr>
  </w:style>
  <w:style w:type="paragraph" w:customStyle="1" w:styleId="Text1">
    <w:name w:val="Text 1"/>
    <w:basedOn w:val="Normln"/>
    <w:rsid w:val="00905C45"/>
    <w:pPr>
      <w:spacing w:before="120" w:after="120" w:line="240" w:lineRule="auto"/>
      <w:ind w:left="850"/>
      <w:jc w:val="both"/>
    </w:pPr>
    <w:rPr>
      <w:rFonts w:ascii="Times New Roman" w:eastAsiaTheme="minorHAnsi" w:hAnsi="Times New Roman"/>
      <w:sz w:val="24"/>
    </w:rPr>
  </w:style>
  <w:style w:type="character" w:styleId="Znakapoznpodarou">
    <w:name w:val="footnote reference"/>
    <w:uiPriority w:val="99"/>
    <w:rsid w:val="00530C2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30C29"/>
    <w:pPr>
      <w:spacing w:after="0" w:line="240" w:lineRule="auto"/>
    </w:pPr>
    <w:rPr>
      <w:rFonts w:asciiTheme="majorHAnsi" w:eastAsia="Times New Roman" w:hAnsiTheme="majorHAns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0C29"/>
    <w:rPr>
      <w:rFonts w:asciiTheme="majorHAnsi" w:eastAsia="Times New Roman" w:hAnsiTheme="majorHAnsi"/>
    </w:rPr>
  </w:style>
  <w:style w:type="table" w:styleId="Mkatabulky">
    <w:name w:val="Table Grid"/>
    <w:basedOn w:val="Normlntabulka"/>
    <w:uiPriority w:val="39"/>
    <w:rsid w:val="00530C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nstranaobsah">
    <w:name w:val="titulní strana obsah"/>
    <w:basedOn w:val="Normln"/>
    <w:qFormat/>
    <w:rsid w:val="00530C29"/>
    <w:pPr>
      <w:spacing w:after="0" w:line="240" w:lineRule="auto"/>
    </w:pPr>
    <w:rPr>
      <w:rFonts w:eastAsia="Times New Roman" w:cs="Arial"/>
      <w:b/>
      <w:color w:val="1F4E79" w:themeColor="accent1" w:themeShade="80"/>
      <w:sz w:val="24"/>
      <w:szCs w:val="20"/>
      <w:lang w:eastAsia="cs-CZ"/>
    </w:rPr>
  </w:style>
  <w:style w:type="table" w:styleId="Barevntabulkasmkou6zvraznn5">
    <w:name w:val="Grid Table 6 Colorful Accent 5"/>
    <w:basedOn w:val="Normlntabulka"/>
    <w:uiPriority w:val="51"/>
    <w:rsid w:val="00530C29"/>
    <w:rPr>
      <w:rFonts w:ascii="Times New Roman" w:eastAsia="Times New Roman" w:hAnsi="Times New Roman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conomy-finance.ec.europa.eu/publications/2024-european-semester-country-reports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ALL/?uri=COM%3A2024%3A603%3AF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S/TXT/?uri=COM:2024:600:F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eil.secure.europarl.europa.eu/oeil/popups/ficheprocedure.do?reference=COM(2024)0603&amp;l=en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ur-lex.europa.eu/legal-content/CS/TXT/?uri=COM%3A2022%3A230%3AFI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100-08D5-43EB-AAD9-648840A8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2097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Blanka Koubová</cp:lastModifiedBy>
  <cp:revision>64</cp:revision>
  <dcterms:created xsi:type="dcterms:W3CDTF">2015-09-22T08:40:00Z</dcterms:created>
  <dcterms:modified xsi:type="dcterms:W3CDTF">2024-07-03T11:52:00Z</dcterms:modified>
</cp:coreProperties>
</file>