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7F" w:rsidRDefault="00952FC2">
      <w:pPr>
        <w:tabs>
          <w:tab w:val="center" w:pos="4512"/>
        </w:tabs>
        <w:spacing w:line="240" w:lineRule="auto"/>
        <w:jc w:val="both"/>
      </w:pPr>
      <w:r>
        <w:rPr>
          <w:b/>
          <w:i/>
          <w:spacing w:val="-3"/>
          <w:sz w:val="24"/>
        </w:rPr>
        <w:tab/>
      </w:r>
      <w:r>
        <w:rPr>
          <w:b/>
          <w:i/>
          <w:spacing w:val="-3"/>
          <w:sz w:val="28"/>
        </w:rPr>
        <w:t>Parlament České republiky</w:t>
      </w:r>
    </w:p>
    <w:p w:rsidR="00A32E7F" w:rsidRDefault="00952FC2">
      <w:pPr>
        <w:tabs>
          <w:tab w:val="left" w:pos="0"/>
        </w:tabs>
        <w:spacing w:line="240" w:lineRule="auto"/>
        <w:jc w:val="center"/>
        <w:rPr>
          <w:b/>
          <w:i/>
          <w:spacing w:val="-4"/>
          <w:sz w:val="40"/>
        </w:rPr>
      </w:pPr>
      <w:proofErr w:type="gramStart"/>
      <w:r>
        <w:rPr>
          <w:b/>
          <w:i/>
          <w:spacing w:val="-4"/>
          <w:sz w:val="40"/>
        </w:rPr>
        <w:t>Poslanecká  sněmovna</w:t>
      </w:r>
      <w:proofErr w:type="gramEnd"/>
    </w:p>
    <w:p w:rsidR="00A32E7F" w:rsidRDefault="00952FC2">
      <w:pPr>
        <w:tabs>
          <w:tab w:val="center" w:pos="4512"/>
        </w:tabs>
        <w:spacing w:line="240" w:lineRule="auto"/>
        <w:jc w:val="center"/>
      </w:pPr>
      <w:r>
        <w:rPr>
          <w:b/>
          <w:i/>
          <w:spacing w:val="-3"/>
          <w:sz w:val="24"/>
        </w:rPr>
        <w:t xml:space="preserve">7. volební období - </w:t>
      </w:r>
      <w:r>
        <w:rPr>
          <w:b/>
          <w:i/>
          <w:spacing w:val="-3"/>
          <w:sz w:val="28"/>
        </w:rPr>
        <w:t>2014</w:t>
      </w:r>
    </w:p>
    <w:p w:rsidR="00A32E7F" w:rsidRDefault="00952FC2">
      <w:pPr>
        <w:tabs>
          <w:tab w:val="center" w:pos="4512"/>
        </w:tabs>
        <w:spacing w:line="240" w:lineRule="auto"/>
        <w:jc w:val="center"/>
        <w:rPr>
          <w:b/>
          <w:i/>
          <w:spacing w:val="-3"/>
          <w:sz w:val="28"/>
        </w:rPr>
      </w:pPr>
      <w:r>
        <w:rPr>
          <w:b/>
          <w:i/>
          <w:spacing w:val="-3"/>
          <w:sz w:val="28"/>
        </w:rPr>
        <w:t>rozpočtový výbor</w:t>
      </w:r>
    </w:p>
    <w:p w:rsidR="00A32E7F" w:rsidRDefault="00A32E7F">
      <w:pPr>
        <w:tabs>
          <w:tab w:val="left" w:pos="0"/>
        </w:tabs>
        <w:jc w:val="both"/>
        <w:rPr>
          <w:b/>
          <w:i/>
          <w:spacing w:val="-3"/>
          <w:sz w:val="24"/>
        </w:rPr>
      </w:pPr>
    </w:p>
    <w:p w:rsidR="00A32E7F" w:rsidRDefault="00A32E7F">
      <w:pPr>
        <w:tabs>
          <w:tab w:val="left" w:pos="0"/>
        </w:tabs>
        <w:jc w:val="both"/>
        <w:rPr>
          <w:b/>
          <w:i/>
          <w:spacing w:val="-3"/>
          <w:sz w:val="24"/>
        </w:rPr>
      </w:pPr>
    </w:p>
    <w:p w:rsidR="00A32E7F" w:rsidRDefault="00A32E7F">
      <w:pPr>
        <w:tabs>
          <w:tab w:val="center" w:pos="4512"/>
        </w:tabs>
        <w:jc w:val="center"/>
        <w:rPr>
          <w:b/>
          <w:i/>
          <w:spacing w:val="-3"/>
          <w:sz w:val="28"/>
        </w:rPr>
      </w:pPr>
    </w:p>
    <w:p w:rsidR="00A32E7F" w:rsidRDefault="00952FC2">
      <w:pPr>
        <w:tabs>
          <w:tab w:val="center" w:pos="4512"/>
        </w:tabs>
        <w:jc w:val="center"/>
      </w:pPr>
      <w:r>
        <w:rPr>
          <w:b/>
          <w:i/>
          <w:spacing w:val="-3"/>
          <w:sz w:val="28"/>
        </w:rPr>
        <w:t>Rozhodnutí předsedy výboru č. 3</w:t>
      </w:r>
    </w:p>
    <w:p w:rsidR="00A32E7F" w:rsidRDefault="00952FC2">
      <w:pPr>
        <w:tabs>
          <w:tab w:val="center" w:pos="4512"/>
        </w:tabs>
        <w:jc w:val="center"/>
      </w:pPr>
      <w:r>
        <w:rPr>
          <w:b/>
          <w:i/>
          <w:spacing w:val="-3"/>
          <w:sz w:val="28"/>
          <w:szCs w:val="28"/>
        </w:rPr>
        <w:t>ze dne 22. května 2014</w:t>
      </w:r>
    </w:p>
    <w:p w:rsidR="00A32E7F" w:rsidRDefault="00A32E7F">
      <w:pPr>
        <w:tabs>
          <w:tab w:val="left" w:pos="0"/>
        </w:tabs>
        <w:spacing w:line="240" w:lineRule="auto"/>
        <w:jc w:val="both"/>
        <w:rPr>
          <w:spacing w:val="-3"/>
          <w:sz w:val="24"/>
        </w:rPr>
      </w:pPr>
    </w:p>
    <w:p w:rsidR="00A32E7F" w:rsidRDefault="00A32E7F">
      <w:pPr>
        <w:tabs>
          <w:tab w:val="left" w:pos="0"/>
        </w:tabs>
        <w:spacing w:line="240" w:lineRule="auto"/>
        <w:jc w:val="both"/>
        <w:rPr>
          <w:spacing w:val="-3"/>
          <w:sz w:val="24"/>
        </w:rPr>
      </w:pPr>
    </w:p>
    <w:p w:rsidR="00A32E7F" w:rsidRDefault="00A32E7F">
      <w:pPr>
        <w:tabs>
          <w:tab w:val="left" w:pos="0"/>
        </w:tabs>
        <w:spacing w:line="240" w:lineRule="auto"/>
        <w:jc w:val="both"/>
        <w:rPr>
          <w:spacing w:val="-3"/>
          <w:sz w:val="24"/>
        </w:rPr>
      </w:pPr>
    </w:p>
    <w:p w:rsidR="00A32E7F" w:rsidRDefault="00952FC2">
      <w:pPr>
        <w:pBdr>
          <w:bottom w:val="single" w:sz="6" w:space="1" w:color="000000"/>
        </w:pBdr>
        <w:tabs>
          <w:tab w:val="left" w:pos="0"/>
        </w:tabs>
        <w:spacing w:line="240" w:lineRule="auto"/>
        <w:ind w:left="360"/>
        <w:jc w:val="center"/>
      </w:pPr>
      <w:r>
        <w:rPr>
          <w:spacing w:val="-3"/>
          <w:sz w:val="24"/>
        </w:rPr>
        <w:t xml:space="preserve">ke způsobu předkládání rozpočtových opatření rozpočtovému výboru </w:t>
      </w:r>
    </w:p>
    <w:p w:rsidR="00A32E7F" w:rsidRDefault="00952FC2">
      <w:pPr>
        <w:pBdr>
          <w:bottom w:val="single" w:sz="6" w:space="1" w:color="000000"/>
        </w:pBdr>
        <w:tabs>
          <w:tab w:val="left" w:pos="0"/>
        </w:tabs>
        <w:spacing w:line="240" w:lineRule="auto"/>
        <w:ind w:left="360"/>
        <w:jc w:val="center"/>
        <w:rPr>
          <w:spacing w:val="-3"/>
          <w:sz w:val="24"/>
        </w:rPr>
      </w:pPr>
      <w:r>
        <w:rPr>
          <w:spacing w:val="-3"/>
          <w:sz w:val="24"/>
        </w:rPr>
        <w:t xml:space="preserve">podle § 24 odst. 3 a § 24 odst. 8 zákona č. 218/2000 Sb., </w:t>
      </w:r>
    </w:p>
    <w:p w:rsidR="00A32E7F" w:rsidRDefault="00952FC2">
      <w:pPr>
        <w:pBdr>
          <w:bottom w:val="single" w:sz="6" w:space="1" w:color="000000"/>
        </w:pBdr>
        <w:tabs>
          <w:tab w:val="left" w:pos="0"/>
        </w:tabs>
        <w:spacing w:line="240" w:lineRule="auto"/>
        <w:ind w:left="360"/>
        <w:jc w:val="center"/>
        <w:rPr>
          <w:spacing w:val="-3"/>
          <w:sz w:val="24"/>
        </w:rPr>
      </w:pPr>
      <w:r>
        <w:rPr>
          <w:spacing w:val="-3"/>
          <w:sz w:val="24"/>
        </w:rPr>
        <w:t>o rozpočtových pravidlech a o změně některých souvisejících zákonů (rozpočtová pravidla)</w:t>
      </w:r>
    </w:p>
    <w:p w:rsidR="00A32E7F" w:rsidRDefault="00A32E7F">
      <w:pPr>
        <w:pBdr>
          <w:bottom w:val="single" w:sz="6" w:space="1" w:color="000000"/>
        </w:pBdr>
        <w:tabs>
          <w:tab w:val="left" w:pos="0"/>
        </w:tabs>
        <w:spacing w:line="240" w:lineRule="auto"/>
        <w:ind w:left="360"/>
        <w:jc w:val="center"/>
        <w:rPr>
          <w:spacing w:val="-3"/>
          <w:sz w:val="24"/>
        </w:rPr>
      </w:pPr>
    </w:p>
    <w:p w:rsidR="00A32E7F" w:rsidRDefault="00A32E7F">
      <w:pPr>
        <w:tabs>
          <w:tab w:val="left" w:pos="-720"/>
        </w:tabs>
        <w:ind w:left="720"/>
        <w:jc w:val="both"/>
      </w:pPr>
    </w:p>
    <w:p w:rsidR="00A32E7F" w:rsidRDefault="00A32E7F">
      <w:pPr>
        <w:tabs>
          <w:tab w:val="left" w:pos="-720"/>
        </w:tabs>
        <w:ind w:left="720"/>
        <w:jc w:val="both"/>
      </w:pPr>
    </w:p>
    <w:p w:rsidR="00A32E7F" w:rsidRDefault="00952FC2">
      <w:pPr>
        <w:tabs>
          <w:tab w:val="left" w:pos="-720"/>
        </w:tabs>
        <w:ind w:left="720"/>
        <w:jc w:val="both"/>
        <w:rPr>
          <w:sz w:val="21"/>
          <w:szCs w:val="24"/>
        </w:rPr>
      </w:pPr>
      <w:r>
        <w:rPr>
          <w:sz w:val="24"/>
          <w:szCs w:val="24"/>
        </w:rPr>
        <w:tab/>
        <w:t xml:space="preserve">Pro předkládání žádostí rozpočtovému výboru o projednání rozpočtového </w:t>
      </w:r>
      <w:proofErr w:type="gramStart"/>
      <w:r>
        <w:rPr>
          <w:sz w:val="24"/>
          <w:szCs w:val="24"/>
        </w:rPr>
        <w:t>opatření  s t a n o v í m  následující</w:t>
      </w:r>
      <w:proofErr w:type="gramEnd"/>
      <w:r>
        <w:rPr>
          <w:sz w:val="24"/>
          <w:szCs w:val="24"/>
        </w:rPr>
        <w:t xml:space="preserve"> postup:</w:t>
      </w:r>
    </w:p>
    <w:p w:rsidR="00A32E7F" w:rsidRDefault="00A32E7F">
      <w:pPr>
        <w:tabs>
          <w:tab w:val="left" w:pos="-720"/>
        </w:tabs>
        <w:ind w:left="720"/>
        <w:jc w:val="both"/>
        <w:rPr>
          <w:sz w:val="21"/>
          <w:szCs w:val="24"/>
        </w:rPr>
      </w:pPr>
    </w:p>
    <w:p w:rsidR="00A32E7F" w:rsidRDefault="00952FC2">
      <w:pPr>
        <w:tabs>
          <w:tab w:val="left" w:pos="-720"/>
        </w:tabs>
        <w:ind w:left="720"/>
        <w:jc w:val="both"/>
      </w:pPr>
      <w:r>
        <w:rPr>
          <w:sz w:val="24"/>
          <w:szCs w:val="24"/>
        </w:rPr>
        <w:tab/>
        <w:t>Správce kapitoly, který předkládá rozpočtovému výboru žádost o rozpočtové opatření podle</w:t>
      </w:r>
      <w:bookmarkStart w:id="0" w:name="_GoBack"/>
      <w:bookmarkEnd w:id="0"/>
      <w:r>
        <w:rPr>
          <w:sz w:val="24"/>
          <w:szCs w:val="24"/>
        </w:rPr>
        <w:t xml:space="preserve"> </w:t>
      </w:r>
      <w:r>
        <w:rPr>
          <w:spacing w:val="-3"/>
          <w:sz w:val="24"/>
          <w:szCs w:val="24"/>
        </w:rPr>
        <w:t>§ 24 odst. 3</w:t>
      </w:r>
      <w:r>
        <w:rPr>
          <w:spacing w:val="-4"/>
          <w:sz w:val="24"/>
          <w:szCs w:val="24"/>
          <w:vertAlign w:val="superscript"/>
        </w:rPr>
        <w:t>1)</w:t>
      </w:r>
      <w:r>
        <w:rPr>
          <w:spacing w:val="-3"/>
          <w:sz w:val="24"/>
          <w:szCs w:val="24"/>
        </w:rPr>
        <w:t xml:space="preserve"> a § 24 odst. 8 zákona č. 218/2000 Sb., o rozpočtových pravidlech a o změně některých souvisejících zákonů (rozpočtová pravidla), jej předloží vždy nejpozději do pátku do 12 hodin kalendářního týdne předcházejícího výborovému týdnu, ve kterém jedná rozpočtový výbor podle schváleného „Časového harmonogramu pravidelných akcí Poslanecké sněmovny </w:t>
      </w:r>
      <w:r>
        <w:rPr>
          <w:spacing w:val="-4"/>
          <w:sz w:val="24"/>
          <w:szCs w:val="24"/>
          <w:vertAlign w:val="superscript"/>
        </w:rPr>
        <w:t>2)</w:t>
      </w:r>
      <w:r>
        <w:rPr>
          <w:spacing w:val="-3"/>
          <w:sz w:val="24"/>
          <w:szCs w:val="24"/>
        </w:rPr>
        <w:t>“.</w:t>
      </w:r>
    </w:p>
    <w:p w:rsidR="00A32E7F" w:rsidRDefault="00952FC2">
      <w:pPr>
        <w:tabs>
          <w:tab w:val="left" w:pos="-720"/>
        </w:tabs>
        <w:ind w:left="720"/>
        <w:jc w:val="both"/>
        <w:rPr>
          <w:spacing w:val="-3"/>
          <w:sz w:val="21"/>
          <w:szCs w:val="24"/>
        </w:rPr>
      </w:pPr>
      <w:r>
        <w:rPr>
          <w:spacing w:val="-3"/>
          <w:sz w:val="24"/>
          <w:szCs w:val="24"/>
        </w:rPr>
        <w:t>____________</w:t>
      </w:r>
    </w:p>
    <w:p w:rsidR="00A32E7F" w:rsidRDefault="00A32E7F">
      <w:pPr>
        <w:tabs>
          <w:tab w:val="left" w:pos="-720"/>
        </w:tabs>
        <w:ind w:left="720"/>
        <w:jc w:val="both"/>
        <w:rPr>
          <w:spacing w:val="-4"/>
          <w:sz w:val="21"/>
          <w:szCs w:val="24"/>
          <w:vertAlign w:val="superscript"/>
        </w:rPr>
      </w:pPr>
    </w:p>
    <w:p w:rsidR="00A32E7F" w:rsidRDefault="00952FC2">
      <w:pPr>
        <w:tabs>
          <w:tab w:val="left" w:pos="-720"/>
        </w:tabs>
        <w:ind w:left="720"/>
        <w:jc w:val="both"/>
      </w:pPr>
      <w:proofErr w:type="gramStart"/>
      <w:r>
        <w:rPr>
          <w:spacing w:val="-4"/>
          <w:sz w:val="24"/>
          <w:szCs w:val="24"/>
          <w:vertAlign w:val="superscript"/>
        </w:rPr>
        <w:t xml:space="preserve">1)   </w:t>
      </w:r>
      <w:r>
        <w:rPr>
          <w:spacing w:val="-4"/>
          <w:sz w:val="24"/>
          <w:szCs w:val="24"/>
        </w:rPr>
        <w:t>po</w:t>
      </w:r>
      <w:proofErr w:type="gramEnd"/>
      <w:r>
        <w:rPr>
          <w:spacing w:val="-4"/>
          <w:sz w:val="24"/>
          <w:szCs w:val="24"/>
        </w:rPr>
        <w:t xml:space="preserve"> jeho schválení ve vládě</w:t>
      </w:r>
    </w:p>
    <w:p w:rsidR="00A32E7F" w:rsidRDefault="00952FC2">
      <w:pPr>
        <w:tabs>
          <w:tab w:val="left" w:pos="-720"/>
        </w:tabs>
        <w:ind w:left="720"/>
        <w:jc w:val="both"/>
      </w:pPr>
      <w:proofErr w:type="gramStart"/>
      <w:r>
        <w:rPr>
          <w:rFonts w:eastAsia="Arial"/>
          <w:vertAlign w:val="superscript"/>
        </w:rPr>
        <w:t xml:space="preserve">2) </w:t>
      </w:r>
      <w:r>
        <w:rPr>
          <w:rFonts w:eastAsia="Arial"/>
        </w:rPr>
        <w:t xml:space="preserve"> </w:t>
      </w:r>
      <w:r>
        <w:rPr>
          <w:rFonts w:eastAsia="Arial"/>
          <w:sz w:val="24"/>
          <w:szCs w:val="24"/>
        </w:rPr>
        <w:t>podle</w:t>
      </w:r>
      <w:proofErr w:type="gramEnd"/>
      <w:r>
        <w:rPr>
          <w:rFonts w:eastAsia="Arial"/>
          <w:sz w:val="24"/>
          <w:szCs w:val="24"/>
        </w:rPr>
        <w:t xml:space="preserve"> usnesení organizačního výboru Poslanecké sněmovny na příslušné pololetí</w:t>
      </w:r>
      <w:r>
        <w:rPr>
          <w:rFonts w:eastAsia="Arial"/>
        </w:rPr>
        <w:t xml:space="preserve">                                                                                   </w:t>
      </w:r>
    </w:p>
    <w:p w:rsidR="00A32E7F" w:rsidRDefault="00A32E7F">
      <w:pPr>
        <w:tabs>
          <w:tab w:val="left" w:pos="-720"/>
        </w:tabs>
        <w:ind w:left="720"/>
        <w:jc w:val="both"/>
        <w:rPr>
          <w:rFonts w:eastAsia="Arial"/>
        </w:rPr>
      </w:pPr>
    </w:p>
    <w:p w:rsidR="00A32E7F" w:rsidRDefault="00A32E7F">
      <w:pPr>
        <w:tabs>
          <w:tab w:val="left" w:pos="-720"/>
        </w:tabs>
        <w:ind w:left="720"/>
        <w:jc w:val="both"/>
        <w:rPr>
          <w:rFonts w:eastAsia="Arial"/>
        </w:rPr>
      </w:pPr>
    </w:p>
    <w:p w:rsidR="00A32E7F" w:rsidRDefault="00A32E7F">
      <w:pPr>
        <w:tabs>
          <w:tab w:val="left" w:pos="-720"/>
        </w:tabs>
        <w:ind w:left="720"/>
        <w:jc w:val="both"/>
        <w:rPr>
          <w:rFonts w:eastAsia="Arial"/>
        </w:rPr>
      </w:pPr>
    </w:p>
    <w:p w:rsidR="00A32E7F" w:rsidRDefault="00A32E7F">
      <w:pPr>
        <w:tabs>
          <w:tab w:val="left" w:pos="-720"/>
        </w:tabs>
        <w:ind w:left="720"/>
        <w:jc w:val="both"/>
        <w:rPr>
          <w:rFonts w:eastAsia="Arial"/>
        </w:rPr>
      </w:pPr>
    </w:p>
    <w:p w:rsidR="00A32E7F" w:rsidRDefault="00A32E7F">
      <w:pPr>
        <w:tabs>
          <w:tab w:val="left" w:pos="-720"/>
        </w:tabs>
        <w:ind w:left="720"/>
        <w:jc w:val="both"/>
        <w:rPr>
          <w:rFonts w:eastAsia="Arial"/>
        </w:rPr>
      </w:pPr>
    </w:p>
    <w:p w:rsidR="00A32E7F" w:rsidRDefault="00A32E7F">
      <w:pPr>
        <w:tabs>
          <w:tab w:val="left" w:pos="-720"/>
        </w:tabs>
        <w:ind w:left="720"/>
        <w:jc w:val="both"/>
        <w:rPr>
          <w:rFonts w:eastAsia="Arial"/>
        </w:rPr>
      </w:pPr>
    </w:p>
    <w:p w:rsidR="00A32E7F" w:rsidRDefault="00952FC2">
      <w:pPr>
        <w:tabs>
          <w:tab w:val="left" w:pos="-720"/>
        </w:tabs>
        <w:ind w:left="720"/>
        <w:jc w:val="both"/>
      </w:pP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Pr>
          <w:sz w:val="24"/>
          <w:szCs w:val="24"/>
        </w:rPr>
        <w:t xml:space="preserve">Ing. Václav  V o t a v a   </w:t>
      </w:r>
      <w:proofErr w:type="gramStart"/>
      <w:r>
        <w:rPr>
          <w:sz w:val="24"/>
          <w:szCs w:val="24"/>
        </w:rPr>
        <w:t>v.r.</w:t>
      </w:r>
      <w:proofErr w:type="gramEnd"/>
    </w:p>
    <w:p w:rsidR="00A32E7F" w:rsidRDefault="00952FC2">
      <w:pPr>
        <w:pStyle w:val="Zkladntext3"/>
        <w:tabs>
          <w:tab w:val="left" w:pos="0"/>
        </w:tabs>
        <w:rPr>
          <w:rFonts w:ascii="Times New Roman" w:hAnsi="Times New Roman" w:cs="Times New Roman"/>
        </w:rPr>
      </w:pPr>
      <w:r>
        <w:rPr>
          <w:rFonts w:ascii="Times New Roman" w:hAnsi="Times New Roman" w:cs="Times New Roman"/>
        </w:rPr>
        <w:t xml:space="preserve">                                                                                                           předseda</w:t>
      </w:r>
    </w:p>
    <w:p w:rsidR="00A32E7F" w:rsidRDefault="00A32E7F">
      <w:pPr>
        <w:pStyle w:val="Zkladntext3"/>
        <w:tabs>
          <w:tab w:val="left" w:pos="0"/>
        </w:tabs>
      </w:pPr>
    </w:p>
    <w:p w:rsidR="00A32E7F" w:rsidRDefault="00A32E7F">
      <w:pPr>
        <w:pStyle w:val="Zkladntext3"/>
        <w:tabs>
          <w:tab w:val="left" w:pos="0"/>
        </w:tabs>
      </w:pPr>
    </w:p>
    <w:sectPr w:rsidR="00A32E7F">
      <w:footerReference w:type="default" r:id="rId7"/>
      <w:pgSz w:w="11906" w:h="16820"/>
      <w:pgMar w:top="720" w:right="1380" w:bottom="776" w:left="1360" w:header="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7D" w:rsidRDefault="00952FC2">
      <w:pPr>
        <w:spacing w:line="240" w:lineRule="auto"/>
      </w:pPr>
      <w:r>
        <w:separator/>
      </w:r>
    </w:p>
  </w:endnote>
  <w:endnote w:type="continuationSeparator" w:id="0">
    <w:p w:rsidR="002B6B7D" w:rsidRDefault="00952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E7F" w:rsidRDefault="00952FC2">
    <w:pPr>
      <w:pStyle w:val="Zpat"/>
    </w:pPr>
    <w:r>
      <w:rPr>
        <w:noProof/>
        <w:lang w:eastAsia="cs-CZ" w:bidi="ar-SA"/>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635</wp:posOffset>
              </wp:positionV>
              <wp:extent cx="14605" cy="165100"/>
              <wp:effectExtent l="0" t="0" r="0" b="0"/>
              <wp:wrapSquare wrapText="largest"/>
              <wp:docPr id="1" name="Rámec4"/>
              <wp:cNvGraphicFramePr/>
              <a:graphic xmlns:a="http://schemas.openxmlformats.org/drawingml/2006/main">
                <a:graphicData uri="http://schemas.microsoft.com/office/word/2010/wordprocessingShape">
                  <wps:wsp>
                    <wps:cNvSpPr txBox="1"/>
                    <wps:spPr>
                      <a:xfrm>
                        <a:off x="0" y="0"/>
                        <a:ext cx="14605" cy="165100"/>
                      </a:xfrm>
                      <a:prstGeom prst="rect">
                        <a:avLst/>
                      </a:prstGeom>
                      <a:solidFill>
                        <a:srgbClr val="FFFFFF">
                          <a:alpha val="0"/>
                        </a:srgbClr>
                      </a:solidFill>
                    </wps:spPr>
                    <wps:txbx>
                      <w:txbxContent>
                        <w:p w:rsidR="00A32E7F" w:rsidRDefault="00A32E7F">
                          <w:pPr>
                            <w:pStyle w:val="Zpat"/>
                          </w:pPr>
                        </w:p>
                      </w:txbxContent>
                    </wps:txbx>
                    <wps:bodyPr anchor="t">
                      <a:noAutofit/>
                    </wps:bodyPr>
                  </wps:wsp>
                </a:graphicData>
              </a:graphic>
            </wp:anchor>
          </w:drawing>
        </mc:Choice>
        <mc:Fallback>
          <w:pict>
            <v:shapetype id="_x0000_t202" coordsize="21600,21600" o:spt="202" path="m,l,21600r21600,l21600,xe">
              <v:stroke joinstyle="miter"/>
              <v:path gradientshapeok="t" o:connecttype="rect"/>
            </v:shapetype>
            <v:shape id="Rámec4" o:spid="_x0000_s1026" type="#_x0000_t202" style="position:absolute;margin-left:0;margin-top:.05pt;width:1.15pt;height:13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" stroked="f">
              <v:fill opacity="0"/>
              <v:textbox>
                <w:txbxContent>
                  <w:p w:rsidR="00A32E7F" w:rsidRDefault="00A32E7F">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7D" w:rsidRDefault="00952FC2">
      <w:pPr>
        <w:spacing w:line="240" w:lineRule="auto"/>
      </w:pPr>
      <w:r>
        <w:separator/>
      </w:r>
    </w:p>
  </w:footnote>
  <w:footnote w:type="continuationSeparator" w:id="0">
    <w:p w:rsidR="002B6B7D" w:rsidRDefault="00952F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7F98"/>
    <w:multiLevelType w:val="multilevel"/>
    <w:tmpl w:val="9CB0ABEA"/>
    <w:lvl w:ilvl="0">
      <w:start w:val="1"/>
      <w:numFmt w:val="upperRoman"/>
      <w:pStyle w:val="Nadpis1"/>
      <w:lvlText w:val="%1."/>
      <w:lvlJc w:val="left"/>
      <w:pPr>
        <w:tabs>
          <w:tab w:val="num" w:pos="720"/>
        </w:tabs>
        <w:ind w:left="720" w:hanging="720"/>
      </w:pPr>
    </w:lvl>
    <w:lvl w:ilvl="1">
      <w:start w:val="1"/>
      <w:numFmt w:val="upperRoman"/>
      <w:pStyle w:val="Nadpis2"/>
      <w:lvlText w:val="%2."/>
      <w:lvlJc w:val="left"/>
      <w:pPr>
        <w:tabs>
          <w:tab w:val="num" w:pos="720"/>
        </w:tabs>
        <w:ind w:left="720" w:hanging="720"/>
      </w:pPr>
    </w:lvl>
    <w:lvl w:ilvl="2">
      <w:numFmt w:val="none"/>
      <w:suff w:val="nothing"/>
      <w:lvlText w:val=""/>
      <w:lvlJc w:val="left"/>
      <w:pPr>
        <w:ind w:left="0" w:firstLine="0"/>
      </w:pPr>
    </w:lvl>
    <w:lvl w:ilvl="3">
      <w:numFmt w:val="none"/>
      <w:suff w:val="nothing"/>
      <w:lvlText w:val=""/>
      <w:lvlJc w:val="left"/>
      <w:pPr>
        <w:ind w:left="0" w:firstLine="0"/>
      </w:pPr>
    </w:lvl>
    <w:lvl w:ilvl="4">
      <w:numFmt w:val="none"/>
      <w:suff w:val="nothing"/>
      <w:lvlText w:val=""/>
      <w:lvlJc w:val="left"/>
      <w:pPr>
        <w:ind w:left="0" w:firstLine="0"/>
      </w:pPr>
    </w:lvl>
    <w:lvl w:ilvl="5">
      <w:numFmt w:val="none"/>
      <w:suff w:val="nothing"/>
      <w:lvlText w:val=""/>
      <w:lvlJc w:val="left"/>
      <w:pPr>
        <w:ind w:left="0" w:firstLine="0"/>
      </w:pPr>
    </w:lvl>
    <w:lvl w:ilvl="6">
      <w:numFmt w:val="none"/>
      <w:suff w:val="nothing"/>
      <w:lvlText w:val=""/>
      <w:lvlJc w:val="left"/>
      <w:pPr>
        <w:ind w:left="0" w:firstLine="0"/>
      </w:pPr>
    </w:lvl>
    <w:lvl w:ilvl="7">
      <w:numFmt w:val="none"/>
      <w:suff w:val="nothing"/>
      <w:lvlText w:val=""/>
      <w:lvlJc w:val="left"/>
      <w:pPr>
        <w:ind w:left="0" w:firstLine="0"/>
      </w:pPr>
    </w:lvl>
    <w:lvl w:ilvl="8">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7F"/>
    <w:rsid w:val="002B6B7D"/>
    <w:rsid w:val="00952FC2"/>
    <w:rsid w:val="00A32E7F"/>
    <w:rsid w:val="00B76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1F555-F01B-4C82-984B-D9712BCE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spacing w:line="300" w:lineRule="auto"/>
    </w:pPr>
    <w:rPr>
      <w:rFonts w:eastAsia="Times New Roman" w:cs="Times New Roman"/>
      <w:sz w:val="22"/>
      <w:szCs w:val="20"/>
    </w:rPr>
  </w:style>
  <w:style w:type="paragraph" w:styleId="Nadpis1">
    <w:name w:val="heading 1"/>
    <w:basedOn w:val="Normln"/>
    <w:next w:val="Normln"/>
    <w:pPr>
      <w:keepNext/>
      <w:numPr>
        <w:numId w:val="1"/>
      </w:numPr>
      <w:tabs>
        <w:tab w:val="left" w:pos="720"/>
      </w:tabs>
      <w:spacing w:line="240" w:lineRule="auto"/>
      <w:jc w:val="both"/>
      <w:outlineLvl w:val="0"/>
    </w:pPr>
    <w:rPr>
      <w:rFonts w:ascii="Arial" w:hAnsi="Arial" w:cs="Arial"/>
      <w:b/>
      <w:sz w:val="24"/>
    </w:rPr>
  </w:style>
  <w:style w:type="paragraph" w:styleId="Nadpis2">
    <w:name w:val="heading 2"/>
    <w:basedOn w:val="Normln"/>
    <w:next w:val="Normln"/>
    <w:pPr>
      <w:keepNext/>
      <w:numPr>
        <w:ilvl w:val="1"/>
        <w:numId w:val="1"/>
      </w:numPr>
      <w:tabs>
        <w:tab w:val="left" w:pos="720"/>
        <w:tab w:val="left" w:pos="2800"/>
      </w:tabs>
      <w:spacing w:line="240" w:lineRule="auto"/>
      <w:jc w:val="center"/>
      <w:outlineLvl w:val="1"/>
    </w:pPr>
    <w:rPr>
      <w:rFonts w:ascii="Arial" w:hAnsi="Arial" w:cs="Arial"/>
      <w:b/>
      <w:sz w:val="24"/>
    </w:rPr>
  </w:style>
  <w:style w:type="paragraph" w:styleId="Nadpis3">
    <w:name w:val="heading 3"/>
    <w:basedOn w:val="Normln"/>
    <w:next w:val="Normln"/>
    <w:pPr>
      <w:keepNext/>
      <w:jc w:val="center"/>
      <w:outlineLvl w:val="2"/>
    </w:pPr>
    <w:rPr>
      <w:rFonts w:ascii="Arial" w:hAnsi="Arial" w:cs="Arial"/>
      <w:b/>
    </w:rPr>
  </w:style>
  <w:style w:type="paragraph" w:styleId="Nadpis4">
    <w:name w:val="heading 4"/>
    <w:basedOn w:val="Normln"/>
    <w:next w:val="Normln"/>
    <w:pPr>
      <w:keepNext/>
      <w:widowControl/>
      <w:spacing w:line="240" w:lineRule="auto"/>
      <w:outlineLvl w:val="3"/>
    </w:pPr>
    <w:rPr>
      <w:b/>
      <w:sz w:val="24"/>
    </w:rPr>
  </w:style>
  <w:style w:type="paragraph" w:styleId="Nadpis9">
    <w:name w:val="heading 9"/>
    <w:basedOn w:val="Normln"/>
    <w:next w:val="Normln"/>
    <w:pPr>
      <w:keepNext/>
      <w:widowControl/>
      <w:spacing w:line="240" w:lineRule="auto"/>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b/>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styleId="slostrnky">
    <w:name w:val="page number"/>
    <w:basedOn w:val="Standardnpsmoodstavce"/>
  </w:style>
  <w:style w:type="character" w:customStyle="1" w:styleId="Silnzdraznn">
    <w:name w:val="Silné zdůraznění"/>
    <w:basedOn w:val="Standardnpsmoodstavce"/>
    <w:rPr>
      <w:b/>
    </w:rPr>
  </w:style>
  <w:style w:type="paragraph" w:customStyle="1" w:styleId="Nadpis">
    <w:name w:val="Nadpis"/>
    <w:basedOn w:val="Normln"/>
    <w:next w:val="Tlotextu"/>
    <w:pPr>
      <w:widowControl/>
      <w:spacing w:line="240" w:lineRule="auto"/>
      <w:jc w:val="center"/>
    </w:pPr>
    <w:rPr>
      <w:b/>
      <w:sz w:val="32"/>
    </w:rPr>
  </w:style>
  <w:style w:type="paragraph" w:customStyle="1" w:styleId="Tlotextu">
    <w:name w:val="Tělo textu"/>
    <w:basedOn w:val="Normln"/>
    <w:pPr>
      <w:spacing w:line="259" w:lineRule="auto"/>
    </w:pPr>
    <w:rPr>
      <w:rFonts w:ascii="Arial" w:hAnsi="Arial" w:cs="Arial"/>
      <w:sz w:val="24"/>
    </w:rPr>
  </w:style>
  <w:style w:type="paragraph" w:styleId="Seznam">
    <w:name w:val="List"/>
    <w:basedOn w:val="Normln"/>
    <w:pPr>
      <w:ind w:left="283" w:hanging="283"/>
    </w:p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FR1">
    <w:name w:val="FR1"/>
    <w:pPr>
      <w:widowControl w:val="0"/>
      <w:suppressAutoHyphens/>
    </w:pPr>
    <w:rPr>
      <w:rFonts w:eastAsia="Times New Roman" w:cs="Times New Roman"/>
      <w:sz w:val="18"/>
      <w:szCs w:val="20"/>
    </w:rPr>
  </w:style>
  <w:style w:type="paragraph" w:customStyle="1" w:styleId="FR2">
    <w:name w:val="FR2"/>
    <w:pPr>
      <w:widowControl w:val="0"/>
      <w:suppressAutoHyphens/>
      <w:spacing w:before="740"/>
      <w:ind w:left="1200"/>
    </w:pPr>
    <w:rPr>
      <w:rFonts w:ascii="Arial" w:eastAsia="Times New Roman" w:hAnsi="Arial" w:cs="Arial"/>
      <w:sz w:val="18"/>
      <w:szCs w:val="20"/>
    </w:rPr>
  </w:style>
  <w:style w:type="paragraph" w:styleId="Zkladntext2">
    <w:name w:val="Body Text 2"/>
    <w:basedOn w:val="Normln"/>
    <w:pPr>
      <w:spacing w:line="240" w:lineRule="auto"/>
      <w:jc w:val="center"/>
    </w:pPr>
    <w:rPr>
      <w:rFonts w:ascii="Arial" w:hAnsi="Arial" w:cs="Arial"/>
      <w:b/>
      <w:sz w:val="24"/>
    </w:rPr>
  </w:style>
  <w:style w:type="paragraph" w:styleId="Zpat">
    <w:name w:val="footer"/>
    <w:basedOn w:val="Normln"/>
    <w:pPr>
      <w:tabs>
        <w:tab w:val="center" w:pos="4536"/>
        <w:tab w:val="right" w:pos="9072"/>
      </w:tabs>
    </w:pPr>
  </w:style>
  <w:style w:type="paragraph" w:styleId="Zkladntext3">
    <w:name w:val="Body Text 3"/>
    <w:basedOn w:val="Normln"/>
    <w:pPr>
      <w:spacing w:line="240" w:lineRule="auto"/>
      <w:jc w:val="both"/>
    </w:pPr>
    <w:rPr>
      <w:rFonts w:ascii="Arial" w:hAnsi="Arial" w:cs="Arial"/>
      <w:sz w:val="24"/>
    </w:rPr>
  </w:style>
  <w:style w:type="paragraph" w:styleId="Zhlav">
    <w:name w:val="header"/>
    <w:basedOn w:val="Normln"/>
    <w:pPr>
      <w:tabs>
        <w:tab w:val="center" w:pos="4536"/>
        <w:tab w:val="right" w:pos="9072"/>
      </w:tabs>
    </w:pPr>
  </w:style>
  <w:style w:type="paragraph" w:customStyle="1" w:styleId="Obsahrmce">
    <w:name w:val="Obsah rámce"/>
    <w:basedOn w:val="Normln"/>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1125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727,RO,Vysoké Mýto</vt:lpstr>
    </vt:vector>
  </TitlesOfParts>
  <Company>Parlament CR</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727,RO,Vysoké Mýto</dc:title>
  <dc:creator>Vlček,Závodská</dc:creator>
  <cp:keywords>727 RO Vysoké Mýto</cp:keywords>
  <cp:lastModifiedBy>Havlickova Darja</cp:lastModifiedBy>
  <cp:revision>3</cp:revision>
  <cp:lastPrinted>2014-05-26T09:58:00Z</cp:lastPrinted>
  <dcterms:created xsi:type="dcterms:W3CDTF">2018-09-12T13:14:00Z</dcterms:created>
  <dcterms:modified xsi:type="dcterms:W3CDTF">2018-09-12T13:16:00Z</dcterms:modified>
  <dc:language>cs-CZ</dc:language>
</cp:coreProperties>
</file>